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80" name=""/>
                <a:graphic>
                  <a:graphicData uri="http://schemas.microsoft.com/office/word/2010/wordprocessingShape">
                    <wps:wsp>
                      <wps:cNvSpPr/>
                      <wps:cNvPr id="9" name="Shape 9"/>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80"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647700" cy="647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77" name=""/>
                <a:graphic>
                  <a:graphicData uri="http://schemas.microsoft.com/office/word/2010/wordprocessingShape">
                    <wps:wsp>
                      <wps:cNvSpPr/>
                      <wps:cNvPr id="6" name="Shape 6"/>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77"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mc:AlternateContent>
          <mc:Choice Requires="wpg">
            <w:drawing>
              <wp:anchor allowOverlap="1" behindDoc="0" distB="0" distT="0" distL="0" distR="0" hidden="0" layoutInCell="1" locked="0" relativeHeight="0" simplePos="0">
                <wp:simplePos x="0" y="0"/>
                <wp:positionH relativeFrom="margin">
                  <wp:posOffset>2514600</wp:posOffset>
                </wp:positionH>
                <wp:positionV relativeFrom="page">
                  <wp:posOffset>664845</wp:posOffset>
                </wp:positionV>
                <wp:extent cx="6871970" cy="7231380"/>
                <wp:effectExtent b="0" l="0" r="0" t="0"/>
                <wp:wrapSquare wrapText="bothSides" distB="0" distT="0" distL="0" distR="0"/>
                <wp:docPr id="281" name=""/>
                <a:graphic>
                  <a:graphicData uri="http://schemas.microsoft.com/office/word/2010/wordprocessingGroup">
                    <wpg:wgp>
                      <wpg:cNvGrpSpPr/>
                      <wpg:grpSpPr>
                        <a:xfrm>
                          <a:off x="1910015" y="164310"/>
                          <a:ext cx="6871970" cy="7231380"/>
                          <a:chOff x="1910015" y="164310"/>
                          <a:chExt cx="6871970" cy="7231379"/>
                        </a:xfrm>
                      </wpg:grpSpPr>
                      <wpg:grpSp>
                        <wpg:cNvGrpSpPr/>
                        <wpg:grpSpPr>
                          <a:xfrm>
                            <a:off x="1910015" y="164310"/>
                            <a:ext cx="6871970" cy="7231379"/>
                            <a:chOff x="1910015" y="164310"/>
                            <a:chExt cx="6871969" cy="7231379"/>
                          </a:xfrm>
                        </wpg:grpSpPr>
                        <wps:wsp>
                          <wps:cNvSpPr/>
                          <wps:cNvPr id="11" name="Shape 11"/>
                          <wps:spPr>
                            <a:xfrm>
                              <a:off x="1910015" y="164310"/>
                              <a:ext cx="6871950" cy="723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0015" y="164310"/>
                              <a:ext cx="6871969" cy="7231379"/>
                              <a:chOff x="1917000" y="82627"/>
                              <a:chExt cx="6872350" cy="7231516"/>
                            </a:xfrm>
                          </wpg:grpSpPr>
                          <wps:wsp>
                            <wps:cNvSpPr/>
                            <wps:cNvPr id="13" name="Shape 13"/>
                            <wps:spPr>
                              <a:xfrm>
                                <a:off x="1917000" y="82627"/>
                                <a:ext cx="6872350" cy="723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7000" y="82627"/>
                                <a:ext cx="6872350" cy="7231516"/>
                                <a:chOff x="0" y="-124797"/>
                                <a:chExt cx="5572968" cy="5529272"/>
                              </a:xfrm>
                            </wpg:grpSpPr>
                            <wps:wsp>
                              <wps:cNvSpPr/>
                              <wps:cNvPr id="15" name="Shape 15"/>
                              <wps:spPr>
                                <a:xfrm>
                                  <a:off x="0" y="0"/>
                                  <a:ext cx="5561325" cy="540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448" y="-124797"/>
                                  <a:ext cx="5557520" cy="5404485"/>
                                </a:xfrm>
                                <a:custGeom>
                                  <a:rect b="b" l="l" r="r" t="t"/>
                                  <a:pathLst>
                                    <a:path extrusionOk="0" h="700" w="72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44546A"/>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Decision Guidance Toolkit for People-Centered Integration of Health Campaigns</w:t>
                                    </w:r>
                                  </w:p>
                                </w:txbxContent>
                              </wps:txbx>
                              <wps:bodyPr anchorCtr="0" anchor="b" bIns="1097275" lIns="914400" spcFirstLastPara="1" rIns="1097275" wrap="square" tIns="1097275">
                                <a:noAutofit/>
                              </wps:bodyPr>
                            </wps:wsp>
                            <wps:wsp>
                              <wps:cNvSpPr/>
                              <wps:cNvPr id="17" name="Shape 17"/>
                              <wps:spPr>
                                <a:xfrm>
                                  <a:off x="876300" y="4769783"/>
                                  <a:ext cx="4685030" cy="509905"/>
                                </a:xfrm>
                                <a:custGeom>
                                  <a:rect b="b" l="l" r="r" t="t"/>
                                  <a:pathLst>
                                    <a:path extrusionOk="0" h="66" w="607">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2901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0" distR="0" hidden="0" layoutInCell="1" locked="0" relativeHeight="0" simplePos="0">
                <wp:simplePos x="0" y="0"/>
                <wp:positionH relativeFrom="margin">
                  <wp:posOffset>2514600</wp:posOffset>
                </wp:positionH>
                <wp:positionV relativeFrom="page">
                  <wp:posOffset>664845</wp:posOffset>
                </wp:positionV>
                <wp:extent cx="6871970" cy="7231380"/>
                <wp:effectExtent b="0" l="0" r="0" t="0"/>
                <wp:wrapSquare wrapText="bothSides" distB="0" distT="0" distL="0" distR="0"/>
                <wp:docPr id="281"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6871970" cy="72313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rPr/>
        <w:sectPr>
          <w:headerReference r:id="rId10" w:type="default"/>
          <w:headerReference r:id="rId11" w:type="first"/>
          <w:headerReference r:id="rId12" w:type="even"/>
          <w:footerReference r:id="rId13" w:type="default"/>
          <w:footerReference r:id="rId14" w:type="first"/>
          <w:footerReference r:id="rId15" w:type="even"/>
          <w:pgSz w:h="12240" w:w="20160" w:orient="landscape"/>
          <w:pgMar w:bottom="245" w:top="245" w:left="720" w:right="720" w:header="720" w:footer="720"/>
          <w:pgNumType w:start="0"/>
          <w:titlePg w:val="1"/>
        </w:sect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posOffset>10648951</wp:posOffset>
                </wp:positionH>
                <wp:positionV relativeFrom="margin">
                  <wp:posOffset>5506086</wp:posOffset>
                </wp:positionV>
                <wp:extent cx="1156335" cy="1014168"/>
                <wp:effectExtent b="0" l="0" r="0" t="0"/>
                <wp:wrapNone/>
                <wp:docPr id="274" name=""/>
                <a:graphic>
                  <a:graphicData uri="http://schemas.microsoft.com/office/word/2010/wordprocessingShape">
                    <wps:wsp>
                      <wps:cNvSpPr/>
                      <wps:cNvPr id="3" name="Shape 3"/>
                      <wps:spPr>
                        <a:xfrm>
                          <a:off x="4777358" y="3286224"/>
                          <a:ext cx="1137285" cy="987552"/>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ffff"/>
                                <w:sz w:val="24"/>
                                <w:vertAlign w:val="baseline"/>
                              </w:rPr>
                              <w:t xml:space="preserve">April 2021 (Draft0)</w:t>
                            </w:r>
                          </w:p>
                        </w:txbxContent>
                      </wps:txbx>
                      <wps:bodyPr anchorCtr="0" anchor="b" bIns="45700" lIns="45700" spcFirstLastPara="1" rIns="457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10648951</wp:posOffset>
                </wp:positionH>
                <wp:positionV relativeFrom="margin">
                  <wp:posOffset>5506086</wp:posOffset>
                </wp:positionV>
                <wp:extent cx="1156335" cy="1014168"/>
                <wp:effectExtent b="0" l="0" r="0" t="0"/>
                <wp:wrapNone/>
                <wp:docPr id="274"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156335" cy="1014168"/>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6125529</wp:posOffset>
                </wp:positionV>
                <wp:extent cx="5781675" cy="513207"/>
                <wp:effectExtent b="0" l="0" r="0" t="0"/>
                <wp:wrapSquare wrapText="bothSides" distB="0" distT="0" distL="114300" distR="114300"/>
                <wp:docPr id="275" name=""/>
                <a:graphic>
                  <a:graphicData uri="http://schemas.microsoft.com/office/word/2010/wordprocessingShape">
                    <wps:wsp>
                      <wps:cNvSpPr/>
                      <wps:cNvPr id="4" name="Shape 4"/>
                      <wps:spPr>
                        <a:xfrm>
                          <a:off x="2469450" y="3537684"/>
                          <a:ext cx="5753100" cy="484632"/>
                        </a:xfrm>
                        <a:prstGeom prst="rect">
                          <a:avLst/>
                        </a:prstGeom>
                        <a:noFill/>
                        <a:ln>
                          <a:noFill/>
                        </a:ln>
                      </wps:spPr>
                      <wps:txbx>
                        <w:txbxContent>
                          <w:p w:rsidR="00000000" w:rsidDel="00000000" w:rsidP="00000000" w:rsidRDefault="00000000" w:rsidRPr="00000000">
                            <w:pPr>
                              <w:spacing w:after="40" w:before="40" w:line="240"/>
                              <w:ind w:left="0" w:right="0" w:firstLine="0"/>
                              <w:jc w:val="left"/>
                              <w:textDirection w:val="btLr"/>
                            </w:pPr>
                          </w:p>
                        </w:txbxContent>
                      </wps:txbx>
                      <wps:bodyPr anchorCtr="0" anchor="t" bIns="0" lIns="914400" spcFirstLastPara="1" rIns="109727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6125529</wp:posOffset>
                </wp:positionV>
                <wp:extent cx="5781675" cy="513207"/>
                <wp:effectExtent b="0" l="0" r="0" t="0"/>
                <wp:wrapSquare wrapText="bothSides" distB="0" distT="0" distL="114300" distR="114300"/>
                <wp:docPr id="275"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781675" cy="513207"/>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18415</wp:posOffset>
            </wp:positionV>
            <wp:extent cx="3038475" cy="732790"/>
            <wp:effectExtent b="0" l="0" r="0" t="0"/>
            <wp:wrapNone/>
            <wp:docPr id="290"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3038475" cy="732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10947400</wp:posOffset>
            </wp:positionH>
            <wp:positionV relativeFrom="paragraph">
              <wp:posOffset>15875</wp:posOffset>
            </wp:positionV>
            <wp:extent cx="939800" cy="762000"/>
            <wp:effectExtent b="0" l="0" r="0" t="0"/>
            <wp:wrapNone/>
            <wp:docPr id="299" name="image18.jpg"/>
            <a:graphic>
              <a:graphicData uri="http://schemas.openxmlformats.org/drawingml/2006/picture">
                <pic:pic>
                  <pic:nvPicPr>
                    <pic:cNvPr id="0" name="image18.jpg"/>
                    <pic:cNvPicPr preferRelativeResize="0"/>
                  </pic:nvPicPr>
                  <pic:blipFill>
                    <a:blip r:embed="rId19"/>
                    <a:srcRect b="10445" l="5624" r="5872" t="9315"/>
                    <a:stretch>
                      <a:fillRect/>
                    </a:stretch>
                  </pic:blipFill>
                  <pic:spPr>
                    <a:xfrm>
                      <a:off x="0" y="0"/>
                      <a:ext cx="939800" cy="762000"/>
                    </a:xfrm>
                    <a:prstGeom prst="rect"/>
                    <a:ln/>
                  </pic:spPr>
                </pic:pic>
              </a:graphicData>
            </a:graphic>
          </wp:anchor>
        </w:drawing>
      </w:r>
    </w:p>
    <w:p w:rsidR="00000000" w:rsidDel="00000000" w:rsidP="00000000" w:rsidRDefault="00000000" w:rsidRPr="00000000" w14:paraId="00000005">
      <w:pPr>
        <w:rPr>
          <w:b w:val="1"/>
          <w:sz w:val="20"/>
          <w:szCs w:val="20"/>
        </w:rPr>
        <w:sectPr>
          <w:headerReference r:id="rId20" w:type="default"/>
          <w:headerReference r:id="rId21" w:type="first"/>
          <w:headerReference r:id="rId22" w:type="even"/>
          <w:type w:val="nextPage"/>
          <w:pgSz w:h="12240" w:w="20160" w:orient="landscape"/>
          <w:pgMar w:bottom="245" w:top="245" w:left="720" w:right="720" w:header="720" w:footer="720"/>
          <w:pgNumType w:start="0"/>
          <w:cols w:equalWidth="0" w:num="2">
            <w:col w:space="720" w:w="9000"/>
            <w:col w:space="0" w:w="9000"/>
          </w:cols>
          <w:titlePg w:val="1"/>
        </w:sectPr>
      </w:pPr>
      <w:r w:rsidDel="00000000" w:rsidR="00000000" w:rsidRPr="00000000">
        <w:rPr>
          <w:rtl w:val="0"/>
        </w:rPr>
      </w:r>
    </w:p>
    <w:p w:rsidR="00000000" w:rsidDel="00000000" w:rsidP="00000000" w:rsidRDefault="00000000" w:rsidRPr="00000000" w14:paraId="00000006">
      <w:pPr>
        <w:spacing w:after="0" w:line="240" w:lineRule="auto"/>
        <w:rPr>
          <w:b w:val="1"/>
          <w:color w:val="000000"/>
          <w:sz w:val="20"/>
          <w:szCs w:val="20"/>
        </w:rPr>
      </w:pPr>
      <w:bookmarkStart w:colFirst="0" w:colLast="0" w:name="_heading=h.gjdgxs" w:id="0"/>
      <w:bookmarkEnd w:id="0"/>
      <w:r w:rsidDel="00000000" w:rsidR="00000000" w:rsidRPr="00000000">
        <w:rPr>
          <w:b w:val="1"/>
          <w:color w:val="000000"/>
          <w:sz w:val="20"/>
          <w:szCs w:val="20"/>
          <w:rtl w:val="0"/>
        </w:rPr>
        <w:t xml:space="preserve">Background</w:t>
      </w:r>
    </w:p>
    <w:p w:rsidR="00000000" w:rsidDel="00000000" w:rsidP="00000000" w:rsidRDefault="00000000" w:rsidRPr="00000000" w14:paraId="00000007">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Health campaigns are time-bound, intermittent activities that address specific epidemiologic challenges, expediently fill delivery gaps, or provide surge coverage for health interventions. Many campaigns complement routine health service delivery. Campaigns occur in health areas, such as malaria, neglected tropical diseases (NTDs), immunization, polio, and Vitamin A supplementation. They can be used to prevent or respond to disease outbreaks, control or eliminate targeted diseases as a public health problem, eradicate a disease altogether, or achieve other health goals. </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Despite the many successes of health campaigns, current vertical approaches can limit their potential impact. In settings where multiple campaigns occur, planning and implementation may be carried out with little communication or collaboration among stakeholders and with inadequate coordination with country health systems. This may result in inefficiencies and inequities that can strain health systems, burden health care workers and communities, weaken health services, and limit the potential impact of campaigns.</w:t>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The Health Campaign Effectiveness program (HCE) at The Task Force for Global Health with support from the Bill &amp; Melinda Gates Foundation has developed a cross-campaign coalition that fosters learning and systems change. The Coalition brings together country leaders, donors, multilateral organizations, and NGOs from several large-scale health campaign domains, as well as specialists in health systems, ethics, and health economics.</w:t>
      </w:r>
      <w:r w:rsidDel="00000000" w:rsidR="00000000" w:rsidRPr="00000000">
        <w:rPr>
          <w:rtl w:val="0"/>
        </w:rPr>
      </w:r>
    </w:p>
    <w:p w:rsidR="00000000" w:rsidDel="00000000" w:rsidP="00000000" w:rsidRDefault="00000000" w:rsidRPr="00000000" w14:paraId="0000000C">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00D">
      <w:pPr>
        <w:spacing w:after="0" w:line="240" w:lineRule="auto"/>
        <w:rPr>
          <w:b w:val="1"/>
          <w:color w:val="000000"/>
          <w:sz w:val="20"/>
          <w:szCs w:val="20"/>
        </w:rPr>
      </w:pPr>
      <w:r w:rsidDel="00000000" w:rsidR="00000000" w:rsidRPr="00000000">
        <w:rPr>
          <w:b w:val="1"/>
          <w:color w:val="000000"/>
          <w:sz w:val="20"/>
          <w:szCs w:val="20"/>
          <w:rtl w:val="0"/>
        </w:rPr>
        <w:t xml:space="preserve">Purpose and Objectives of this Toolkit</w:t>
      </w:r>
    </w:p>
    <w:p w:rsidR="00000000" w:rsidDel="00000000" w:rsidP="00000000" w:rsidRDefault="00000000" w:rsidRPr="00000000" w14:paraId="0000000E">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The purpose of the toolkit is to assist diverse officials and stakeholders at the country and global levels to identify and collect information on the potential opportunities for health campaign integration. </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The objectives are to:</w:t>
      </w:r>
      <w:r w:rsidDel="00000000" w:rsidR="00000000" w:rsidRPr="00000000">
        <w:rPr>
          <w:rtl w:val="0"/>
        </w:rPr>
      </w:r>
    </w:p>
    <w:p w:rsidR="00000000" w:rsidDel="00000000" w:rsidP="00000000" w:rsidRDefault="00000000" w:rsidRPr="00000000" w14:paraId="00000011">
      <w:pPr>
        <w:numPr>
          <w:ilvl w:val="0"/>
          <w:numId w:val="5"/>
        </w:numPr>
        <w:spacing w:after="0" w:line="240" w:lineRule="auto"/>
        <w:ind w:left="720" w:hanging="360"/>
        <w:rPr>
          <w:color w:val="000000"/>
          <w:sz w:val="20"/>
          <w:szCs w:val="20"/>
        </w:rPr>
      </w:pPr>
      <w:r w:rsidDel="00000000" w:rsidR="00000000" w:rsidRPr="00000000">
        <w:rPr>
          <w:color w:val="000000"/>
          <w:sz w:val="20"/>
          <w:szCs w:val="20"/>
          <w:rtl w:val="0"/>
        </w:rPr>
        <w:t xml:space="preserve">Identify opportunities for initiating and continuing a discussion on campaign integration;</w:t>
      </w:r>
    </w:p>
    <w:p w:rsidR="00000000" w:rsidDel="00000000" w:rsidP="00000000" w:rsidRDefault="00000000" w:rsidRPr="00000000" w14:paraId="00000012">
      <w:pPr>
        <w:numPr>
          <w:ilvl w:val="0"/>
          <w:numId w:val="5"/>
        </w:numPr>
        <w:spacing w:after="0" w:line="240" w:lineRule="auto"/>
        <w:ind w:left="720" w:hanging="360"/>
        <w:rPr>
          <w:color w:val="000000"/>
          <w:sz w:val="20"/>
          <w:szCs w:val="20"/>
        </w:rPr>
      </w:pPr>
      <w:r w:rsidDel="00000000" w:rsidR="00000000" w:rsidRPr="00000000">
        <w:rPr>
          <w:color w:val="000000"/>
          <w:sz w:val="20"/>
          <w:szCs w:val="20"/>
          <w:rtl w:val="0"/>
        </w:rPr>
        <w:t xml:space="preserve">Provide evidence-based criteria to help country health programs and stakeholders pair campaign interventions with strong promise for effective full or partial integration;</w:t>
      </w:r>
    </w:p>
    <w:p w:rsidR="00000000" w:rsidDel="00000000" w:rsidP="00000000" w:rsidRDefault="00000000" w:rsidRPr="00000000" w14:paraId="00000013">
      <w:pPr>
        <w:numPr>
          <w:ilvl w:val="0"/>
          <w:numId w:val="5"/>
        </w:numPr>
        <w:spacing w:after="0" w:line="240" w:lineRule="auto"/>
        <w:ind w:left="720" w:hanging="360"/>
        <w:rPr>
          <w:color w:val="000000"/>
          <w:sz w:val="20"/>
          <w:szCs w:val="20"/>
        </w:rPr>
      </w:pPr>
      <w:r w:rsidDel="00000000" w:rsidR="00000000" w:rsidRPr="00000000">
        <w:rPr>
          <w:color w:val="000000"/>
          <w:sz w:val="20"/>
          <w:szCs w:val="20"/>
          <w:rtl w:val="0"/>
        </w:rPr>
        <w:t xml:space="preserve">Highlight the factors that are potential facilitators and barriers to such combinations in each country context; and</w:t>
      </w:r>
    </w:p>
    <w:p w:rsidR="00000000" w:rsidDel="00000000" w:rsidP="00000000" w:rsidRDefault="00000000" w:rsidRPr="00000000" w14:paraId="00000014">
      <w:pPr>
        <w:numPr>
          <w:ilvl w:val="0"/>
          <w:numId w:val="5"/>
        </w:numPr>
        <w:spacing w:after="0" w:line="240" w:lineRule="auto"/>
        <w:ind w:left="720" w:hanging="360"/>
        <w:rPr>
          <w:color w:val="000000"/>
          <w:sz w:val="20"/>
          <w:szCs w:val="20"/>
        </w:rPr>
      </w:pPr>
      <w:r w:rsidDel="00000000" w:rsidR="00000000" w:rsidRPr="00000000">
        <w:rPr>
          <w:color w:val="000000"/>
          <w:sz w:val="20"/>
          <w:szCs w:val="20"/>
          <w:rtl w:val="0"/>
        </w:rPr>
        <w:t xml:space="preserve">Facilitate the synthesis of global and national guidelines, standards, and criteria to inform campaign integration decisions in each country.  </w:t>
      </w:r>
    </w:p>
    <w:p w:rsidR="00000000" w:rsidDel="00000000" w:rsidP="00000000" w:rsidRDefault="00000000" w:rsidRPr="00000000" w14:paraId="00000015">
      <w:pPr>
        <w:spacing w:after="0" w:line="240" w:lineRule="auto"/>
        <w:rPr>
          <w:b w:val="1"/>
          <w:color w:val="000000"/>
          <w:sz w:val="20"/>
          <w:szCs w:val="2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rPr>
          <w:color w:val="000000"/>
          <w:sz w:val="20"/>
          <w:szCs w:val="20"/>
          <w:rtl w:val="0"/>
        </w:rPr>
        <w:t xml:space="preserve">While not exhaustive, the two appendices--</w:t>
      </w:r>
      <w:r w:rsidDel="00000000" w:rsidR="00000000" w:rsidRPr="00000000">
        <w:rPr>
          <w:i w:val="1"/>
          <w:color w:val="000000"/>
          <w:sz w:val="20"/>
          <w:szCs w:val="20"/>
          <w:rtl w:val="0"/>
        </w:rPr>
        <w:t xml:space="preserve">Worksheet for Global and Country Standards on Planning Health Campaign Integration </w:t>
      </w:r>
      <w:r w:rsidDel="00000000" w:rsidR="00000000" w:rsidRPr="00000000">
        <w:rPr>
          <w:color w:val="000000"/>
          <w:sz w:val="20"/>
          <w:szCs w:val="20"/>
          <w:rtl w:val="0"/>
        </w:rPr>
        <w:t xml:space="preserve">and</w:t>
      </w:r>
      <w:r w:rsidDel="00000000" w:rsidR="00000000" w:rsidRPr="00000000">
        <w:rPr>
          <w:i w:val="1"/>
          <w:color w:val="000000"/>
          <w:sz w:val="20"/>
          <w:szCs w:val="20"/>
          <w:rtl w:val="0"/>
        </w:rPr>
        <w:t xml:space="preserve"> Criteria across Health Domains and Specific Interventions for Selecting Potential Campaign Integration—</w:t>
      </w:r>
      <w:r w:rsidDel="00000000" w:rsidR="00000000" w:rsidRPr="00000000">
        <w:rPr>
          <w:color w:val="000000"/>
          <w:sz w:val="20"/>
          <w:szCs w:val="20"/>
          <w:rtl w:val="0"/>
        </w:rPr>
        <w:t xml:space="preserve">can be particularly helpful for the pre-planning stages of campaign integration.</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b w:val="1"/>
          <w:color w:val="000000"/>
          <w:sz w:val="20"/>
          <w:szCs w:val="20"/>
          <w:rtl w:val="0"/>
        </w:rPr>
        <w:t xml:space="preserve">Users</w:t>
        <w:br w:type="textWrapping"/>
      </w:r>
      <w:r w:rsidDel="00000000" w:rsidR="00000000" w:rsidRPr="00000000">
        <w:rPr>
          <w:color w:val="000000"/>
          <w:sz w:val="20"/>
          <w:szCs w:val="20"/>
          <w:rtl w:val="0"/>
        </w:rPr>
        <w:t xml:space="preserve">The intended users are policy makers and stakeholders at the national, subnational, regional, and global levels who oversee, plan, finance, implement, or monitor health campaigns, and that issue guidance around health campaigns, PHC, and health systems strengthening. </w:t>
      </w:r>
    </w:p>
    <w:p w:rsidR="00000000" w:rsidDel="00000000" w:rsidP="00000000" w:rsidRDefault="00000000" w:rsidRPr="00000000" w14:paraId="00000019">
      <w:pPr>
        <w:spacing w:after="0" w:line="240" w:lineRule="auto"/>
        <w:rPr>
          <w:sz w:val="20"/>
          <w:szCs w:val="20"/>
        </w:rPr>
      </w:pPr>
      <w:r w:rsidDel="00000000" w:rsidR="00000000" w:rsidRPr="00000000">
        <w:rPr>
          <w:rtl w:val="0"/>
        </w:rPr>
      </w:r>
    </w:p>
    <w:p w:rsidR="00000000" w:rsidDel="00000000" w:rsidP="00000000" w:rsidRDefault="00000000" w:rsidRPr="00000000" w14:paraId="0000001A">
      <w:pPr>
        <w:spacing w:after="0" w:line="240" w:lineRule="auto"/>
        <w:rPr>
          <w:sz w:val="20"/>
          <w:szCs w:val="20"/>
        </w:rPr>
      </w:pPr>
      <w:r w:rsidDel="00000000" w:rsidR="00000000" w:rsidRPr="00000000">
        <w:rPr>
          <w:color w:val="000000"/>
          <w:sz w:val="20"/>
          <w:szCs w:val="20"/>
          <w:rtl w:val="0"/>
        </w:rPr>
        <w:t xml:space="preserve">In developing this tool, special attention was dedicated to upholding the key categories of Feasibility, Accountability, Acceptability, Compatibility, Context, and Equity (see Appendix C).</w:t>
      </w:r>
      <w:r w:rsidDel="00000000" w:rsidR="00000000" w:rsidRPr="00000000">
        <w:rPr>
          <w:rtl w:val="0"/>
        </w:rPr>
      </w:r>
    </w:p>
    <w:p w:rsidR="00000000" w:rsidDel="00000000" w:rsidP="00000000" w:rsidRDefault="00000000" w:rsidRPr="00000000" w14:paraId="0000001B">
      <w:pPr>
        <w:pBdr>
          <w:bottom w:color="000000" w:space="1" w:sz="12" w:val="single"/>
        </w:pBdr>
        <w:spacing w:after="0" w:line="240" w:lineRule="auto"/>
        <w:rPr>
          <w:b w:val="1"/>
          <w:color w:val="000000"/>
          <w:sz w:val="20"/>
          <w:szCs w:val="20"/>
        </w:rPr>
      </w:pPr>
      <w:r w:rsidDel="00000000" w:rsidR="00000000" w:rsidRPr="00000000">
        <w:rPr>
          <w:rtl w:val="0"/>
        </w:rPr>
      </w:r>
    </w:p>
    <w:p w:rsidR="00000000" w:rsidDel="00000000" w:rsidP="00000000" w:rsidRDefault="00000000" w:rsidRPr="00000000" w14:paraId="0000001C">
      <w:pPr>
        <w:spacing w:after="0" w:line="240" w:lineRule="auto"/>
        <w:rPr>
          <w:b w:val="1"/>
          <w:color w:val="000000"/>
          <w:sz w:val="20"/>
          <w:szCs w:val="20"/>
        </w:rPr>
      </w:pPr>
      <w:r w:rsidDel="00000000" w:rsidR="00000000" w:rsidRPr="00000000">
        <w:rPr>
          <w:rtl w:val="0"/>
        </w:rPr>
      </w:r>
    </w:p>
    <w:p w:rsidR="00000000" w:rsidDel="00000000" w:rsidP="00000000" w:rsidRDefault="00000000" w:rsidRPr="00000000" w14:paraId="0000001D">
      <w:pPr>
        <w:spacing w:after="0" w:line="240" w:lineRule="auto"/>
        <w:rPr>
          <w:b w:val="1"/>
          <w:color w:val="000000"/>
          <w:sz w:val="20"/>
          <w:szCs w:val="20"/>
        </w:rPr>
      </w:pPr>
      <w:r w:rsidDel="00000000" w:rsidR="00000000" w:rsidRPr="00000000">
        <w:rPr>
          <w:b w:val="1"/>
          <w:color w:val="000000"/>
          <w:sz w:val="20"/>
          <w:szCs w:val="20"/>
          <w:rtl w:val="0"/>
        </w:rPr>
        <w:t xml:space="preserve">Acknowledgements</w:t>
      </w:r>
    </w:p>
    <w:p w:rsidR="00000000" w:rsidDel="00000000" w:rsidP="00000000" w:rsidRDefault="00000000" w:rsidRPr="00000000" w14:paraId="0000001E">
      <w:pPr>
        <w:spacing w:after="0" w:line="240" w:lineRule="auto"/>
        <w:rPr>
          <w:b w:val="1"/>
          <w:color w:val="000000"/>
          <w:sz w:val="20"/>
          <w:szCs w:val="20"/>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The</w:t>
      </w:r>
      <w:r w:rsidDel="00000000" w:rsidR="00000000" w:rsidRPr="00000000">
        <w:rPr>
          <w:i w:val="1"/>
          <w:color w:val="000000"/>
          <w:sz w:val="20"/>
          <w:szCs w:val="20"/>
          <w:rtl w:val="0"/>
        </w:rPr>
        <w:t xml:space="preserve"> Decision Guidance Toolkit for People-Centered Integration of Health Campaigns</w:t>
      </w:r>
      <w:r w:rsidDel="00000000" w:rsidR="00000000" w:rsidRPr="00000000">
        <w:rPr>
          <w:color w:val="000000"/>
          <w:sz w:val="20"/>
          <w:szCs w:val="20"/>
          <w:rtl w:val="0"/>
        </w:rPr>
        <w:t xml:space="preserve"> was developed by the Health Campaign Effectiveness program, generously funded by the Bill and Melinda Gates Foundation at the Task Force for Global Health. The toolkit was informed by discussions of the Campaign Integration Working Group (CIWG) through an iterative process of feedback gleaned from CIWG meetings, subject matter experts, field experience, HCE funded case studies, and guidelines of the World Health Organization.</w:t>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The document was developed by David Gittelman, Vivek Patel, and Eva Bazant. We thank CIWG members for specific comments on and inputs to this tool, including Andreas Hasman, UNICEF; Anitta Kamara of National Malaria Control Programme, Ministry of Health and Sanitation, Sierra Leone; Mandy Kader Kondé la Fondation Santé &amp; Développement Durable/Centre d'Excellence de Formation et Recherche sur les Maladies Prioritaires in Guinea; Patrick Lammie, of the NTD-Support Center at the Taskforce for Global Health; Gladys Muhire and Suzanne Van Hulle, Catholic Relief Services; Laura Nic Lochlainn, World Health Organization; Pooja Pandey, Helen Keller International, Nepal; Robert Perry, Centers for Disease Control and Prevention, Atlanta, Georgia, USA; Martha Saboya, Pan American Health Organization; and </w:t>
      </w:r>
      <w:r w:rsidDel="00000000" w:rsidR="00000000" w:rsidRPr="00000000">
        <w:rPr>
          <w:rFonts w:ascii="Calibri" w:cs="Calibri" w:eastAsia="Calibri" w:hAnsi="Calibri"/>
          <w:color w:val="000000"/>
          <w:sz w:val="20"/>
          <w:szCs w:val="20"/>
          <w:highlight w:val="white"/>
          <w:rtl w:val="0"/>
        </w:rPr>
        <w:t xml:space="preserve">Jovana Alexandra Ocampo Cañas, Universidad de los Andes, Bogo</w:t>
      </w:r>
      <w:r w:rsidDel="00000000" w:rsidR="00000000" w:rsidRPr="00000000">
        <w:rPr>
          <w:rFonts w:ascii="Calibri" w:cs="Calibri" w:eastAsia="Calibri" w:hAnsi="Calibri"/>
          <w:color w:val="000000"/>
          <w:sz w:val="20"/>
          <w:szCs w:val="20"/>
          <w:rtl w:val="0"/>
        </w:rPr>
        <w:t xml:space="preserve">t</w:t>
      </w:r>
      <w:r w:rsidDel="00000000" w:rsidR="00000000" w:rsidRPr="00000000">
        <w:rPr>
          <w:rFonts w:ascii="Calibri" w:cs="Calibri" w:eastAsia="Calibri" w:hAnsi="Calibri"/>
          <w:color w:val="000000"/>
          <w:sz w:val="20"/>
          <w:szCs w:val="20"/>
          <w:highlight w:val="white"/>
          <w:rtl w:val="0"/>
        </w:rPr>
        <w:t xml:space="preserve">á, Colombia</w:t>
      </w:r>
      <w:r w:rsidDel="00000000" w:rsidR="00000000" w:rsidRPr="00000000">
        <w:rPr>
          <w:rFonts w:ascii="Calibri" w:cs="Calibri" w:eastAsia="Calibri" w:hAnsi="Calibri"/>
          <w:color w:val="000000"/>
          <w:sz w:val="20"/>
          <w:szCs w:val="20"/>
          <w:rtl w:val="0"/>
        </w:rPr>
        <w:t xml:space="preserve">. We acknowledge CIWG members for engaging in discussions related to the toolkit, including Zainab Ali, Catholic Relief Services, Nigeria; Horace Cox, Ministry of Health, Guyana; Ajay Khera, EngenderHealth India; Alison Krentel, Bruyere Research Institute, University of Ottawa, Canada; Htar Htar Lin, Ministry of Health and Sports, Myanmar; Joseph Oteri, National Primary Health Care Development Agency, Nigeria; Sara Sa Silva, Gavi Secretariat; and Kwamy Togbey, Ministry of Health, Togo. </w:t>
      </w:r>
      <w:r w:rsidDel="00000000" w:rsidR="00000000" w:rsidRPr="00000000">
        <w:rPr>
          <w:rtl w:val="0"/>
        </w:rPr>
      </w:r>
    </w:p>
    <w:p w:rsidR="00000000" w:rsidDel="00000000" w:rsidP="00000000" w:rsidRDefault="00000000" w:rsidRPr="00000000" w14:paraId="00000022">
      <w:pPr>
        <w:spacing w:after="0" w:line="240" w:lineRule="auto"/>
        <w:rPr>
          <w:b w:val="1"/>
          <w:color w:val="00000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rPr>
          <w:i w:val="1"/>
          <w:color w:val="000000"/>
          <w:sz w:val="20"/>
          <w:szCs w:val="20"/>
          <w:rtl w:val="0"/>
        </w:rPr>
        <w:t xml:space="preserve">Suggested Citation:</w:t>
      </w:r>
      <w:r w:rsidDel="00000000" w:rsidR="00000000" w:rsidRPr="00000000">
        <w:rPr>
          <w:color w:val="000000"/>
          <w:sz w:val="20"/>
          <w:szCs w:val="20"/>
          <w:rtl w:val="0"/>
        </w:rPr>
        <w:t xml:space="preserve"> Gittelman D, Patel V, Bazant E and the Campaign Integration Working Group of the Health Campaign Effectiveness Coalition. </w:t>
      </w:r>
      <w:r w:rsidDel="00000000" w:rsidR="00000000" w:rsidRPr="00000000">
        <w:rPr>
          <w:i w:val="1"/>
          <w:color w:val="000000"/>
          <w:sz w:val="20"/>
          <w:szCs w:val="20"/>
          <w:rtl w:val="0"/>
        </w:rPr>
        <w:t xml:space="preserve">Decision Guidance Toolkit for People-Centered Integration of Health Campaigns. </w:t>
      </w:r>
      <w:r w:rsidDel="00000000" w:rsidR="00000000" w:rsidRPr="00000000">
        <w:rPr>
          <w:color w:val="000000"/>
          <w:sz w:val="20"/>
          <w:szCs w:val="20"/>
          <w:rtl w:val="0"/>
        </w:rPr>
        <w:t xml:space="preserve">Decatur, GA: The Task Force for Global Health, 2021.</w:t>
      </w:r>
      <w:r w:rsidDel="00000000" w:rsidR="00000000" w:rsidRPr="00000000">
        <w:rPr>
          <w:color w:val="000000"/>
          <w:rtl w:val="0"/>
        </w:rPr>
        <w:br w:type="textWrapping"/>
      </w:r>
      <w:r w:rsidDel="00000000" w:rsidR="00000000" w:rsidRPr="00000000">
        <w:rPr>
          <w:b w:val="1"/>
          <w:color w:val="000000"/>
          <w:rtl w:val="0"/>
        </w:rPr>
        <w:br w:type="textWrapp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3">
      <w:pPr>
        <w:spacing w:after="0" w:line="240" w:lineRule="auto"/>
        <w:rPr>
          <w:color w:val="000000"/>
        </w:rPr>
      </w:pPr>
      <w:r w:rsidDel="00000000" w:rsidR="00000000" w:rsidRPr="00000000">
        <w:rPr>
          <w:rtl w:val="0"/>
        </w:rPr>
      </w:r>
    </w:p>
    <w:p w:rsidR="00000000" w:rsidDel="00000000" w:rsidP="00000000" w:rsidRDefault="00000000" w:rsidRPr="00000000" w14:paraId="00000024">
      <w:pPr>
        <w:spacing w:after="0" w:line="240" w:lineRule="auto"/>
        <w:rPr>
          <w:color w:val="000000"/>
        </w:rPr>
        <w:sectPr>
          <w:headerReference r:id="rId23" w:type="default"/>
          <w:headerReference r:id="rId24" w:type="first"/>
          <w:headerReference r:id="rId25" w:type="even"/>
          <w:type w:val="continuous"/>
          <w:pgSz w:h="12240" w:w="20160" w:orient="landscape"/>
          <w:pgMar w:bottom="245" w:top="245" w:left="720" w:right="720" w:header="720" w:footer="720"/>
          <w:pgNumType w:start="0"/>
          <w:cols w:equalWidth="0" w:num="2">
            <w:col w:space="720" w:w="9000"/>
            <w:col w:space="0" w:w="9000"/>
          </w:cols>
          <w:titlePg w:val="1"/>
        </w:sectPr>
      </w:pPr>
      <w:r w:rsidDel="00000000" w:rsidR="00000000" w:rsidRPr="00000000">
        <w:rPr>
          <w:rtl w:val="0"/>
        </w:rPr>
      </w:r>
    </w:p>
    <w:p w:rsidR="00000000" w:rsidDel="00000000" w:rsidP="00000000" w:rsidRDefault="00000000" w:rsidRPr="00000000" w14:paraId="00000025">
      <w:pPr>
        <w:rPr>
          <w:b w:val="1"/>
          <w:color w:val="000000"/>
        </w:rPr>
        <w:sectPr>
          <w:type w:val="continuous"/>
          <w:pgSz w:h="12240" w:w="20160" w:orient="landscape"/>
          <w:pgMar w:bottom="245" w:top="245" w:left="720" w:right="720" w:header="720" w:footer="720"/>
          <w:pgNumType w:start="0"/>
          <w:titlePg w:val="1"/>
        </w:sectPr>
      </w:pPr>
      <w:r w:rsidDel="00000000" w:rsidR="00000000" w:rsidRPr="00000000">
        <w:rPr>
          <w:rtl w:val="0"/>
        </w:rPr>
      </w:r>
    </w:p>
    <w:p w:rsidR="00000000" w:rsidDel="00000000" w:rsidP="00000000" w:rsidRDefault="00000000" w:rsidRPr="00000000" w14:paraId="00000026">
      <w:pPr>
        <w:spacing w:after="0" w:line="240" w:lineRule="auto"/>
        <w:jc w:val="center"/>
        <w:rPr>
          <w:b w:val="1"/>
          <w:sz w:val="32"/>
          <w:szCs w:val="32"/>
        </w:rPr>
      </w:pPr>
      <w:r w:rsidDel="00000000" w:rsidR="00000000" w:rsidRPr="00000000">
        <w:rPr>
          <w:b w:val="1"/>
          <w:sz w:val="32"/>
          <w:szCs w:val="32"/>
          <w:rtl w:val="0"/>
        </w:rPr>
        <w:t xml:space="preserve">Decision Guidance Tool</w:t>
      </w:r>
      <w:r w:rsidDel="00000000" w:rsidR="00000000" w:rsidRPr="00000000">
        <w:rPr>
          <w:b w:val="1"/>
          <w:color w:val="000000"/>
          <w:sz w:val="32"/>
          <w:szCs w:val="32"/>
          <w:rtl w:val="0"/>
        </w:rPr>
        <w:t xml:space="preserve">kit</w:t>
      </w:r>
      <w:r w:rsidDel="00000000" w:rsidR="00000000" w:rsidRPr="00000000">
        <w:rPr>
          <w:b w:val="1"/>
          <w:sz w:val="32"/>
          <w:szCs w:val="32"/>
          <w:rtl w:val="0"/>
        </w:rPr>
        <w:t xml:space="preserve"> for People-Centered Integration of Health Campaigns </w:t>
      </w:r>
      <w:r w:rsidDel="00000000" w:rsidR="00000000" w:rsidRPr="00000000">
        <w:rPr>
          <w:rtl w:val="0"/>
        </w:rPr>
        <w:t xml:space="preserve">(April 2021-Draft 0)</w:t>
      </w:r>
      <w:r w:rsidDel="00000000" w:rsidR="00000000" w:rsidRPr="00000000">
        <w:rPr>
          <w:rtl w:val="0"/>
        </w:rPr>
      </w:r>
    </w:p>
    <w:p w:rsidR="00000000" w:rsidDel="00000000" w:rsidP="00000000" w:rsidRDefault="00000000" w:rsidRPr="00000000" w14:paraId="00000027">
      <w:pPr>
        <w:keepNext w:val="1"/>
        <w:keepLines w:val="1"/>
        <w:pBdr>
          <w:top w:space="0" w:sz="0" w:val="nil"/>
          <w:left w:space="0" w:sz="0" w:val="nil"/>
          <w:bottom w:space="0" w:sz="0" w:val="nil"/>
          <w:right w:space="0" w:sz="0" w:val="nil"/>
          <w:between w:space="0" w:sz="0" w:val="nil"/>
        </w:pBdr>
        <w:spacing w:after="0" w:line="240" w:lineRule="auto"/>
        <w:rPr>
          <w:color w:val="2f5496"/>
        </w:rPr>
      </w:pPr>
      <w:r w:rsidDel="00000000" w:rsidR="00000000" w:rsidRPr="00000000">
        <w:rPr>
          <w:rtl w:val="0"/>
        </w:rPr>
      </w:r>
    </w:p>
    <w:p w:rsidR="00000000" w:rsidDel="00000000" w:rsidP="00000000" w:rsidRDefault="00000000" w:rsidRPr="00000000" w14:paraId="00000028">
      <w:pPr>
        <w:keepNext w:val="1"/>
        <w:keepLines w:val="1"/>
        <w:pBdr>
          <w:top w:space="0" w:sz="0" w:val="nil"/>
          <w:left w:space="0" w:sz="0" w:val="nil"/>
          <w:bottom w:space="0" w:sz="0" w:val="nil"/>
          <w:right w:space="0" w:sz="0" w:val="nil"/>
          <w:between w:space="0" w:sz="0" w:val="nil"/>
        </w:pBdr>
        <w:spacing w:after="0" w:line="240" w:lineRule="auto"/>
        <w:rPr>
          <w:color w:val="2f5496"/>
        </w:rPr>
      </w:pPr>
      <w:r w:rsidDel="00000000" w:rsidR="00000000" w:rsidRPr="00000000">
        <w:rPr>
          <w:color w:val="2f549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fldChar w:fldCharType="begin"/>
            <w:instrText xml:space="preserve"> TOC \h \u \z </w:instrText>
            <w:fldChar w:fldCharType="separate"/>
          </w: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to use the Decision Guidance Toolkit for People-Centered Integration of Health Campaigns</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Do You Start or Continue the Conversation on Campaign Integration in Your Country?</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Decision Guidance Tool to Identify Facilitators and Barriers for Full Campaign Integration/Co-delivery, by Health Intervention</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Criteria for People-Centered Integration Decisions at Various Levels</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Example and Sample Pairings of Health Interventions</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A: Worksheet for Global and Country Standards on Planning Health Campaign Integration</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B: Criteria across Health Domains and Specific Interventions for Selecting Potential Campaign Integration</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C: Key Categories of Considerations for Campaign Integration</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Abbreviations/Acronyms</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Definitions of Criteria (illustrative)</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187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asd7qbrow5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References (draft)</w:t>
            </w:r>
          </w:hyperlink>
          <w:hyperlink w:anchor="_heading=h.vasd7qbrow5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Style w:val="Heading1"/>
        <w:spacing w:before="0" w:line="240" w:lineRule="auto"/>
        <w:rPr>
          <w:rFonts w:ascii="Calibri" w:cs="Calibri" w:eastAsia="Calibri" w:hAnsi="Calibri"/>
          <w:b w:val="1"/>
          <w:color w:val="000000"/>
          <w:sz w:val="22"/>
          <w:szCs w:val="22"/>
        </w:rPr>
      </w:pPr>
      <w:bookmarkStart w:colFirst="0" w:colLast="0" w:name="_heading=h.26in1rg" w:id="2"/>
      <w:bookmarkEnd w:id="2"/>
      <w:r w:rsidDel="00000000" w:rsidR="00000000" w:rsidRPr="00000000">
        <w:rPr>
          <w:rtl w:val="0"/>
        </w:rPr>
      </w:r>
    </w:p>
    <w:p w:rsidR="00000000" w:rsidDel="00000000" w:rsidP="00000000" w:rsidRDefault="00000000" w:rsidRPr="00000000" w14:paraId="00000036">
      <w:pPr>
        <w:jc w:val="both"/>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jc w:val="center"/>
        <w:rPr/>
      </w:pPr>
      <w:bookmarkStart w:colFirst="0" w:colLast="0" w:name="_heading=h.1fob9te" w:id="3"/>
      <w:bookmarkEnd w:id="3"/>
      <w:r w:rsidDel="00000000" w:rsidR="00000000" w:rsidRPr="00000000">
        <w:rPr>
          <w:rFonts w:ascii="Calibri" w:cs="Calibri" w:eastAsia="Calibri" w:hAnsi="Calibri"/>
          <w:b w:val="1"/>
          <w:color w:val="000000"/>
          <w:rtl w:val="0"/>
        </w:rPr>
        <w:t xml:space="preserve">How to use the Decision Guidance Toolkit for People-Centered Integration of Health Campaigns </w:t>
      </w:r>
      <w:r w:rsidDel="00000000" w:rsidR="00000000" w:rsidRPr="00000000">
        <w:rPr>
          <w:rtl w:val="0"/>
        </w:rPr>
      </w:r>
    </w:p>
    <w:tbl>
      <w:tblPr>
        <w:tblStyle w:val="Table1"/>
        <w:tblW w:w="18180.0" w:type="dxa"/>
        <w:jc w:val="left"/>
        <w:tblInd w:w="0.0" w:type="dxa"/>
        <w:tblLayout w:type="fixed"/>
        <w:tblLook w:val="0400"/>
      </w:tblPr>
      <w:tblGrid>
        <w:gridCol w:w="1440"/>
        <w:gridCol w:w="16470"/>
        <w:gridCol w:w="270"/>
        <w:tblGridChange w:id="0">
          <w:tblGrid>
            <w:gridCol w:w="1440"/>
            <w:gridCol w:w="16470"/>
            <w:gridCol w:w="270"/>
          </w:tblGrid>
        </w:tblGridChange>
      </w:tblGrid>
      <w:tr>
        <w:trPr>
          <w:trHeight w:val="7754" w:hRule="atLeast"/>
        </w:trPr>
        <w:tc>
          <w:tcPr>
            <w:tcMar>
              <w:top w:w="100.0" w:type="dxa"/>
              <w:left w:w="100.0" w:type="dxa"/>
              <w:bottom w:w="100.0" w:type="dxa"/>
              <w:right w:w="100.0" w:type="dxa"/>
            </w:tcMar>
          </w:tcPr>
          <w:p w:rsidR="00000000" w:rsidDel="00000000" w:rsidP="00000000" w:rsidRDefault="00000000" w:rsidRPr="00000000" w14:paraId="00000038">
            <w:pPr>
              <w:spacing w:after="240" w:before="24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-59594</wp:posOffset>
                  </wp:positionH>
                  <wp:positionV relativeFrom="paragraph">
                    <wp:posOffset>-131084</wp:posOffset>
                  </wp:positionV>
                  <wp:extent cx="822960" cy="771923"/>
                  <wp:effectExtent b="0" l="0" r="0" t="0"/>
                  <wp:wrapNone/>
                  <wp:docPr descr="Icon&#10;&#10;Description automatically generated" id="283" name="image1.png"/>
                  <a:graphic>
                    <a:graphicData uri="http://schemas.openxmlformats.org/drawingml/2006/picture">
                      <pic:pic>
                        <pic:nvPicPr>
                          <pic:cNvPr descr="Icon&#10;&#10;Description automatically generated" id="0" name="image1.png"/>
                          <pic:cNvPicPr preferRelativeResize="0"/>
                        </pic:nvPicPr>
                        <pic:blipFill>
                          <a:blip r:embed="rId26"/>
                          <a:srcRect b="0" l="0" r="0" t="0"/>
                          <a:stretch>
                            <a:fillRect/>
                          </a:stretch>
                        </pic:blipFill>
                        <pic:spPr>
                          <a:xfrm>
                            <a:off x="0" y="0"/>
                            <a:ext cx="822960" cy="771923"/>
                          </a:xfrm>
                          <a:prstGeom prst="rect"/>
                          <a:ln/>
                        </pic:spPr>
                      </pic:pic>
                    </a:graphicData>
                  </a:graphic>
                </wp:anchor>
              </w:drawing>
            </w:r>
          </w:p>
          <w:p w:rsidR="00000000" w:rsidDel="00000000" w:rsidP="00000000" w:rsidRDefault="00000000" w:rsidRPr="00000000" w14:paraId="00000039">
            <w:pPr>
              <w:spacing w:after="240" w:before="24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-62419</wp:posOffset>
                  </wp:positionH>
                  <wp:positionV relativeFrom="paragraph">
                    <wp:posOffset>256711</wp:posOffset>
                  </wp:positionV>
                  <wp:extent cx="822960" cy="784817"/>
                  <wp:effectExtent b="0" l="0" r="0" t="0"/>
                  <wp:wrapNone/>
                  <wp:docPr descr="Icon&#10;&#10;Description automatically generated" id="292" name="image12.png"/>
                  <a:graphic>
                    <a:graphicData uri="http://schemas.openxmlformats.org/drawingml/2006/picture">
                      <pic:pic>
                        <pic:nvPicPr>
                          <pic:cNvPr descr="Icon&#10;&#10;Description automatically generated" id="0" name="image12.png"/>
                          <pic:cNvPicPr preferRelativeResize="0"/>
                        </pic:nvPicPr>
                        <pic:blipFill>
                          <a:blip r:embed="rId27"/>
                          <a:srcRect b="0" l="0" r="0" t="0"/>
                          <a:stretch>
                            <a:fillRect/>
                          </a:stretch>
                        </pic:blipFill>
                        <pic:spPr>
                          <a:xfrm>
                            <a:off x="0" y="0"/>
                            <a:ext cx="822960" cy="78481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-58400</wp:posOffset>
                  </wp:positionH>
                  <wp:positionV relativeFrom="paragraph">
                    <wp:posOffset>2298274</wp:posOffset>
                  </wp:positionV>
                  <wp:extent cx="854765" cy="705709"/>
                  <wp:effectExtent b="0" l="0" r="0" t="0"/>
                  <wp:wrapSquare wrapText="bothSides" distB="0" distT="0" distL="0" distR="0"/>
                  <wp:docPr descr="A black and white logo&#10;&#10;Description automatically generated with medium confidence" id="284" name="image2.png"/>
                  <a:graphic>
                    <a:graphicData uri="http://schemas.openxmlformats.org/drawingml/2006/picture">
                      <pic:pic>
                        <pic:nvPicPr>
                          <pic:cNvPr descr="A black and white logo&#10;&#10;Description automatically generated with medium confidence" id="0" name="image2.png"/>
                          <pic:cNvPicPr preferRelativeResize="0"/>
                        </pic:nvPicPr>
                        <pic:blipFill>
                          <a:blip r:embed="rId28"/>
                          <a:srcRect b="0" l="0" r="0" t="0"/>
                          <a:stretch>
                            <a:fillRect/>
                          </a:stretch>
                        </pic:blipFill>
                        <pic:spPr>
                          <a:xfrm>
                            <a:off x="0" y="0"/>
                            <a:ext cx="854765" cy="705709"/>
                          </a:xfrm>
                          <a:prstGeom prst="rect"/>
                          <a:ln/>
                        </pic:spPr>
                      </pic:pic>
                    </a:graphicData>
                  </a:graphic>
                </wp:anchor>
              </w:drawing>
            </w:r>
          </w:p>
        </w:tc>
        <w:tc>
          <w:tcPr/>
          <w:p w:rsidR="00000000" w:rsidDel="00000000" w:rsidP="00000000" w:rsidRDefault="00000000" w:rsidRPr="00000000" w14:paraId="0000003A">
            <w:pPr>
              <w:spacing w:after="0" w:line="240" w:lineRule="auto"/>
              <w:jc w:val="both"/>
              <w:rPr>
                <w:rFonts w:ascii="Times New Roman" w:cs="Times New Roman" w:eastAsia="Times New Roman" w:hAnsi="Times New Roman"/>
                <w:b w:val="1"/>
              </w:rPr>
            </w:pPr>
            <w:r w:rsidDel="00000000" w:rsidR="00000000" w:rsidRPr="00000000">
              <w:rPr>
                <w:b w:val="1"/>
                <w:color w:val="004aad"/>
                <w:sz w:val="32"/>
                <w:szCs w:val="32"/>
                <w:rtl w:val="0"/>
              </w:rPr>
              <w:t xml:space="preserve">Step 1</w:t>
            </w:r>
            <w:r w:rsidDel="00000000" w:rsidR="00000000" w:rsidRPr="00000000">
              <w:rPr>
                <w:b w:val="1"/>
                <w:color w:val="004aad"/>
                <w:rtl w:val="0"/>
              </w:rPr>
              <w:t xml:space="preserve">: Identify the Problem &amp; Start or Continue the Conversation</w:t>
            </w:r>
            <w:r w:rsidDel="00000000" w:rsidR="00000000" w:rsidRPr="00000000">
              <w:rPr>
                <w:rtl w:val="0"/>
              </w:rPr>
            </w:r>
          </w:p>
          <w:p w:rsidR="00000000" w:rsidDel="00000000" w:rsidP="00000000" w:rsidRDefault="00000000" w:rsidRPr="00000000" w14:paraId="0000003B">
            <w:pPr>
              <w:spacing w:after="0" w:line="240" w:lineRule="auto"/>
              <w:jc w:val="both"/>
              <w:rPr>
                <w:color w:val="000000"/>
              </w:rPr>
            </w:pPr>
            <w:r w:rsidDel="00000000" w:rsidR="00000000" w:rsidRPr="00000000">
              <w:rPr>
                <w:color w:val="000000"/>
                <w:rtl w:val="0"/>
              </w:rPr>
              <w:t xml:space="preserve">The first step is one of assessment and reflection on the potential for integrating campaigns. Please see the tool on </w:t>
            </w:r>
            <w:r w:rsidDel="00000000" w:rsidR="00000000" w:rsidRPr="00000000">
              <w:rPr>
                <w:b w:val="1"/>
                <w:color w:val="000000"/>
                <w:rtl w:val="0"/>
              </w:rPr>
              <w:t xml:space="preserve">page 2 </w:t>
            </w:r>
            <w:r w:rsidDel="00000000" w:rsidR="00000000" w:rsidRPr="00000000">
              <w:rPr>
                <w:color w:val="000000"/>
                <w:rtl w:val="0"/>
              </w:rPr>
              <w:t xml:space="preserve">for suggested best practices and tips to generate or build interest: “</w:t>
            </w:r>
            <w:r w:rsidDel="00000000" w:rsidR="00000000" w:rsidRPr="00000000">
              <w:rPr>
                <w:b w:val="1"/>
                <w:color w:val="000000"/>
                <w:rtl w:val="0"/>
              </w:rPr>
              <w:t xml:space="preserve">How do you start or continue the conversation on campaign integration in your country?</w:t>
            </w:r>
            <w:r w:rsidDel="00000000" w:rsidR="00000000" w:rsidRPr="00000000">
              <w:rPr>
                <w:color w:val="000000"/>
                <w:rtl w:val="0"/>
              </w:rPr>
              <w:t xml:space="preserve">”.</w:t>
            </w:r>
          </w:p>
          <w:p w:rsidR="00000000" w:rsidDel="00000000" w:rsidP="00000000" w:rsidRDefault="00000000" w:rsidRPr="00000000" w14:paraId="0000003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0" w:line="240" w:lineRule="auto"/>
              <w:jc w:val="both"/>
              <w:rPr>
                <w:rFonts w:ascii="Times New Roman" w:cs="Times New Roman" w:eastAsia="Times New Roman" w:hAnsi="Times New Roman"/>
                <w:b w:val="1"/>
              </w:rPr>
            </w:pPr>
            <w:bookmarkStart w:colFirst="0" w:colLast="0" w:name="_heading=h.3znysh7" w:id="4"/>
            <w:bookmarkEnd w:id="4"/>
            <w:r w:rsidDel="00000000" w:rsidR="00000000" w:rsidRPr="00000000">
              <w:rPr>
                <w:b w:val="1"/>
                <w:color w:val="004aad"/>
                <w:sz w:val="32"/>
                <w:szCs w:val="32"/>
                <w:rtl w:val="0"/>
              </w:rPr>
              <w:t xml:space="preserve">Step 2</w:t>
            </w:r>
            <w:r w:rsidDel="00000000" w:rsidR="00000000" w:rsidRPr="00000000">
              <w:rPr>
                <w:b w:val="1"/>
                <w:color w:val="004aad"/>
                <w:rtl w:val="0"/>
              </w:rPr>
              <w:t xml:space="preserve">: Explore the Possibilities and Identify Pairings</w:t>
            </w:r>
            <w:r w:rsidDel="00000000" w:rsidR="00000000" w:rsidRPr="00000000">
              <w:rPr>
                <w:rtl w:val="0"/>
              </w:rPr>
            </w:r>
          </w:p>
          <w:p w:rsidR="00000000" w:rsidDel="00000000" w:rsidP="00000000" w:rsidRDefault="00000000" w:rsidRPr="00000000" w14:paraId="0000003E">
            <w:pPr>
              <w:spacing w:after="0" w:line="240" w:lineRule="auto"/>
              <w:jc w:val="both"/>
              <w:rPr>
                <w:color w:val="000000"/>
              </w:rPr>
            </w:pPr>
            <w:r w:rsidDel="00000000" w:rsidR="00000000" w:rsidRPr="00000000">
              <w:rPr>
                <w:color w:val="000000"/>
                <w:rtl w:val="0"/>
              </w:rPr>
              <w:t xml:space="preserve">Once you have convened key decision-makers and partners to the idea of integration, the next step is to explore other health interventions from the perspective of your current role (e.g., local district, country, or global level). </w:t>
            </w:r>
          </w:p>
          <w:p w:rsidR="00000000" w:rsidDel="00000000" w:rsidP="00000000" w:rsidRDefault="00000000" w:rsidRPr="00000000" w14:paraId="0000003F">
            <w:pPr>
              <w:spacing w:after="0" w:line="240" w:lineRule="auto"/>
              <w:jc w:val="both"/>
              <w:rPr>
                <w:color w:val="000000"/>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Start by reviewing the overview matrix tool on page 3.  This tool gives a visual representation of how to explore the pairing of different health interventions and identifying the facilitators and barriers to each combination.</w:t>
            </w:r>
          </w:p>
          <w:p w:rsidR="00000000" w:rsidDel="00000000" w:rsidP="00000000" w:rsidRDefault="00000000" w:rsidRPr="00000000" w14:paraId="000000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review 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table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Criteria for People-Centered Integration Decisions at Various Levels.”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the tool is to suggest key criteria that decision-makers from the global to local levels should consider for pairing campaign interventions.  Each criterion could be a facilitator or barrier, depending on the health intervention and country context.   </w:t>
            </w:r>
          </w:p>
          <w:p w:rsidR="00000000" w:rsidDel="00000000" w:rsidP="00000000" w:rsidRDefault="00000000" w:rsidRPr="00000000" w14:paraId="0000004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Examine the campaign pairing examples for facilitators and barriers 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pages 5 and 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tool should stimulate ideas for applying the matrix and key criteria.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b w:val="1"/>
              </w:rPr>
            </w:pPr>
            <w:r w:rsidDel="00000000" w:rsidR="00000000" w:rsidRPr="00000000">
              <w:rPr>
                <w:b w:val="1"/>
                <w:color w:val="004aad"/>
                <w:sz w:val="32"/>
                <w:szCs w:val="32"/>
                <w:rtl w:val="0"/>
              </w:rPr>
              <w:t xml:space="preserve">Step 3</w:t>
            </w:r>
            <w:r w:rsidDel="00000000" w:rsidR="00000000" w:rsidRPr="00000000">
              <w:rPr>
                <w:b w:val="1"/>
                <w:color w:val="004aad"/>
                <w:rtl w:val="0"/>
              </w:rPr>
              <w:t xml:space="preserve">: Customize According to Global, Country, and/or Local Context</w:t>
            </w:r>
            <w:r w:rsidDel="00000000" w:rsidR="00000000" w:rsidRPr="00000000">
              <w:rPr>
                <w:rtl w:val="0"/>
              </w:rPr>
            </w:r>
          </w:p>
          <w:p w:rsidR="00000000" w:rsidDel="00000000" w:rsidP="00000000" w:rsidRDefault="00000000" w:rsidRPr="00000000" w14:paraId="00000045">
            <w:pPr>
              <w:spacing w:after="0" w:line="240" w:lineRule="auto"/>
              <w:jc w:val="both"/>
              <w:rPr>
                <w:color w:val="000000"/>
              </w:rPr>
            </w:pPr>
            <w:r w:rsidDel="00000000" w:rsidR="00000000" w:rsidRPr="00000000">
              <w:rPr>
                <w:color w:val="000000"/>
                <w:rtl w:val="0"/>
              </w:rPr>
              <w:t xml:space="preserve">Once you have identified possible health intervention(s) for integration, the next step is to customize the integration using more detailed technical and operational considerations.</w:t>
            </w:r>
          </w:p>
          <w:p w:rsidR="00000000" w:rsidDel="00000000" w:rsidP="00000000" w:rsidRDefault="00000000" w:rsidRPr="00000000" w14:paraId="00000046">
            <w:pPr>
              <w:spacing w:after="0" w:line="240" w:lineRule="auto"/>
              <w:jc w:val="both"/>
              <w:rPr>
                <w:color w:val="000000"/>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Assemble existing global or national policies and standards, as well as the sub-national or local contexts, to further assess whether integration is feasible and appropriate. Global guidance on key health interventions is available on the websites of WHO, PAHO, UNICEF and their key global partners such as GAVI and the Global Fund for HIV, TB and Malaria.  Campaign integration strategies and plans of action should reflect this information.   </w:t>
            </w:r>
          </w:p>
          <w:p w:rsidR="00000000" w:rsidDel="00000000" w:rsidP="00000000" w:rsidRDefault="00000000" w:rsidRPr="00000000" w14:paraId="0000004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page 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Worksheet for Global and Country Standards on Planning Health Campaign Integration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Fill in the cells based on the suggested criteria to help this decision and planning process. </w:t>
            </w:r>
          </w:p>
          <w:p w:rsidR="00000000" w:rsidDel="00000000" w:rsidP="00000000" w:rsidRDefault="00000000" w:rsidRPr="00000000" w14:paraId="000000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the more detailed technical and operational criteria and best practices involved in integrations suggested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9, “Criteria Across Health Domains and Specific Interventions for Selecting Potential Campaign Integration.”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While the table incorporates the latest global guidance and experience available when this tool was developed (see References), the list of criteria to consider is not exhaustive and should be modified to the country context and updated, as needed.  </w:t>
            </w:r>
          </w:p>
          <w:p w:rsidR="00000000" w:rsidDel="00000000" w:rsidP="00000000" w:rsidRDefault="00000000" w:rsidRPr="00000000" w14:paraId="0000004A">
            <w:pPr>
              <w:spacing w:after="0" w:line="240" w:lineRule="auto"/>
              <w:jc w:val="both"/>
              <w:rPr>
                <w:color w:val="000000"/>
              </w:rPr>
            </w:pPr>
            <w:r w:rsidDel="00000000" w:rsidR="00000000" w:rsidRPr="00000000">
              <w:rPr>
                <w:rtl w:val="0"/>
              </w:rPr>
            </w:r>
          </w:p>
          <w:p w:rsidR="00000000" w:rsidDel="00000000" w:rsidP="00000000" w:rsidRDefault="00000000" w:rsidRPr="00000000" w14:paraId="0000004B">
            <w:pPr>
              <w:spacing w:after="0" w:line="240" w:lineRule="auto"/>
              <w:jc w:val="both"/>
              <w:rPr>
                <w:color w:val="000000"/>
              </w:rPr>
            </w:pPr>
            <w:r w:rsidDel="00000000" w:rsidR="00000000" w:rsidRPr="00000000">
              <w:rPr>
                <w:color w:val="000000"/>
                <w:rtl w:val="0"/>
              </w:rPr>
              <w:t xml:space="preserve">After completing this process of review and reflection, national programs and their partners are ready to decide whether campaign integration of specific health interventions is promising. After using the Decision Guidance Toolkit for People-Centered Integration of Health Campaigns, national programs and their partners can begin collaborating on strategic planning.</w:t>
            </w:r>
          </w:p>
          <w:p w:rsidR="00000000" w:rsidDel="00000000" w:rsidP="00000000" w:rsidRDefault="00000000" w:rsidRPr="00000000" w14:paraId="0000004C">
            <w:pPr>
              <w:spacing w:after="0" w:line="240" w:lineRule="auto"/>
              <w:jc w:val="both"/>
              <w:rPr>
                <w:color w:val="000000"/>
              </w:rPr>
            </w:pPr>
            <w:r w:rsidDel="00000000" w:rsidR="00000000" w:rsidRPr="00000000">
              <w:rPr>
                <w:rtl w:val="0"/>
              </w:rPr>
            </w:r>
          </w:p>
        </w:tc>
        <w:tc>
          <w:tcPr/>
          <w:p w:rsidR="00000000" w:rsidDel="00000000" w:rsidP="00000000" w:rsidRDefault="00000000" w:rsidRPr="00000000" w14:paraId="0000004D">
            <w:pPr>
              <w:spacing w:after="0" w:line="240" w:lineRule="auto"/>
              <w:rPr>
                <w:color w:val="004aad"/>
              </w:rPr>
            </w:pPr>
            <w:r w:rsidDel="00000000" w:rsidR="00000000" w:rsidRPr="00000000">
              <w:rPr>
                <w:rtl w:val="0"/>
              </w:rPr>
            </w:r>
          </w:p>
        </w:tc>
      </w:tr>
    </w:tbl>
    <w:p w:rsidR="00000000" w:rsidDel="00000000" w:rsidP="00000000" w:rsidRDefault="00000000" w:rsidRPr="00000000" w14:paraId="0000004E">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0" w:before="0" w:line="240" w:lineRule="auto"/>
        <w:ind w:left="864" w:right="864" w:firstLine="0"/>
        <w:jc w:val="center"/>
        <w:rPr>
          <w:rFonts w:ascii="Times New Roman" w:cs="Times New Roman" w:eastAsia="Times New Roman" w:hAnsi="Times New Roman"/>
          <w:b w:val="1"/>
          <w:i w:val="0"/>
          <w:smallCaps w:val="0"/>
          <w:strike w:val="0"/>
          <w:color w:val="4472c4"/>
          <w:sz w:val="22"/>
          <w:szCs w:val="22"/>
          <w:u w:val="none"/>
          <w:shd w:fill="auto" w:val="clear"/>
          <w:vertAlign w:val="baseline"/>
        </w:rPr>
      </w:pPr>
      <w:bookmarkStart w:colFirst="0" w:colLast="0" w:name="_heading=h.2et92p0" w:id="5"/>
      <w:bookmarkEnd w:id="5"/>
      <w:r w:rsidDel="00000000" w:rsidR="00000000" w:rsidRPr="00000000">
        <w:rPr>
          <w:rFonts w:ascii="Calibri" w:cs="Calibri" w:eastAsia="Calibri" w:hAnsi="Calibri"/>
          <w:b w:val="1"/>
          <w:i w:val="0"/>
          <w:smallCaps w:val="0"/>
          <w:strike w:val="0"/>
          <w:color w:val="4472c4"/>
          <w:sz w:val="32"/>
          <w:szCs w:val="32"/>
          <w:u w:val="none"/>
          <w:shd w:fill="auto" w:val="clear"/>
          <w:vertAlign w:val="baseline"/>
          <w:rtl w:val="0"/>
        </w:rPr>
        <w:t xml:space="preserve">Step 1:</w:t>
      </w: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 Identify the Problem &amp; Start or Continue the Conversation</w:t>
      </w:r>
      <w:r w:rsidDel="00000000" w:rsidR="00000000" w:rsidRPr="00000000">
        <w:rPr>
          <w:rtl w:val="0"/>
        </w:rPr>
      </w:r>
    </w:p>
    <w:p w:rsidR="00000000" w:rsidDel="00000000" w:rsidP="00000000" w:rsidRDefault="00000000" w:rsidRPr="00000000" w14:paraId="0000004F">
      <w:pPr>
        <w:pStyle w:val="Heading1"/>
        <w:spacing w:before="0" w:line="240" w:lineRule="auto"/>
        <w:jc w:val="center"/>
        <w:rPr>
          <w:rFonts w:ascii="Calibri" w:cs="Calibri" w:eastAsia="Calibri" w:hAnsi="Calibri"/>
          <w:b w:val="1"/>
          <w:color w:val="000000"/>
        </w:rPr>
      </w:pPr>
      <w:bookmarkStart w:colFirst="0" w:colLast="0" w:name="_heading=h.tyjcwt" w:id="6"/>
      <w:bookmarkEnd w:id="6"/>
      <w:r w:rsidDel="00000000" w:rsidR="00000000" w:rsidRPr="00000000">
        <w:rPr>
          <w:rFonts w:ascii="Calibri" w:cs="Calibri" w:eastAsia="Calibri" w:hAnsi="Calibri"/>
          <w:b w:val="1"/>
          <w:color w:val="000000"/>
          <w:rtl w:val="0"/>
        </w:rPr>
        <w:t xml:space="preserve">How Do You Start or Continue the Conversation on Campaign Integration in Your Country?</w:t>
      </w:r>
    </w:p>
    <w:p w:rsidR="00000000" w:rsidDel="00000000" w:rsidP="00000000" w:rsidRDefault="00000000" w:rsidRPr="00000000" w14:paraId="00000050">
      <w:pPr>
        <w:spacing w:after="0" w:lineRule="auto"/>
        <w:rPr>
          <w:rFonts w:ascii="Times New Roman" w:cs="Times New Roman" w:eastAsia="Times New Roman" w:hAnsi="Times New Roman"/>
        </w:rPr>
      </w:pPr>
      <w:r w:rsidDel="00000000" w:rsidR="00000000" w:rsidRPr="00000000">
        <w:rPr>
          <w:color w:val="000000"/>
          <w:rtl w:val="0"/>
        </w:rPr>
        <w:t xml:space="preserve">Before using the toolkit to examine integration opportunities, key decision-makers and partners in a country need to be attracted to the idea of campaign integration and motivated to explore it further. Here are some tips to help start or continue the conversation.</w:t>
      </w:r>
      <w:r w:rsidDel="00000000" w:rsidR="00000000" w:rsidRPr="00000000">
        <w:rPr>
          <w:rtl w:val="0"/>
        </w:rPr>
      </w:r>
    </w:p>
    <w:tbl>
      <w:tblPr>
        <w:tblStyle w:val="Table2"/>
        <w:tblW w:w="1870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508"/>
        <w:gridCol w:w="7484"/>
        <w:gridCol w:w="538"/>
        <w:gridCol w:w="1360"/>
        <w:gridCol w:w="7810"/>
        <w:tblGridChange w:id="0">
          <w:tblGrid>
            <w:gridCol w:w="1508"/>
            <w:gridCol w:w="7484"/>
            <w:gridCol w:w="538"/>
            <w:gridCol w:w="1360"/>
            <w:gridCol w:w="7810"/>
          </w:tblGrid>
        </w:tblGridChange>
      </w:tblGrid>
      <w:tr>
        <w:tc>
          <w:tcPr>
            <w:tcMar>
              <w:top w:w="100.0" w:type="dxa"/>
              <w:left w:w="100.0" w:type="dxa"/>
              <w:bottom w:w="100.0" w:type="dxa"/>
              <w:right w:w="100.0" w:type="dxa"/>
            </w:tcMar>
          </w:tcPr>
          <w:p w:rsidR="00000000" w:rsidDel="00000000" w:rsidP="00000000" w:rsidRDefault="00000000" w:rsidRPr="00000000" w14:paraId="00000051">
            <w:pPr>
              <w:spacing w:after="240" w:before="24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-12697</wp:posOffset>
                  </wp:positionH>
                  <wp:positionV relativeFrom="paragraph">
                    <wp:posOffset>0</wp:posOffset>
                  </wp:positionV>
                  <wp:extent cx="822960" cy="771923"/>
                  <wp:effectExtent b="0" l="0" r="0" t="0"/>
                  <wp:wrapNone/>
                  <wp:docPr id="288"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822960" cy="7719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924560</wp:posOffset>
                  </wp:positionV>
                  <wp:extent cx="822960" cy="784817"/>
                  <wp:effectExtent b="0" l="0" r="0" t="0"/>
                  <wp:wrapNone/>
                  <wp:docPr id="298"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822960" cy="78481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-15626</wp:posOffset>
                  </wp:positionH>
                  <wp:positionV relativeFrom="paragraph">
                    <wp:posOffset>2803552</wp:posOffset>
                  </wp:positionV>
                  <wp:extent cx="822960" cy="664937"/>
                  <wp:effectExtent b="0" l="0" r="0" t="0"/>
                  <wp:wrapNone/>
                  <wp:docPr id="309"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822960" cy="66493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-14881</wp:posOffset>
                  </wp:positionH>
                  <wp:positionV relativeFrom="paragraph">
                    <wp:posOffset>4020019</wp:posOffset>
                  </wp:positionV>
                  <wp:extent cx="822960" cy="818039"/>
                  <wp:effectExtent b="0" l="0" r="0" t="0"/>
                  <wp:wrapNone/>
                  <wp:docPr id="296"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822960" cy="818039"/>
                          </a:xfrm>
                          <a:prstGeom prst="rect"/>
                          <a:ln/>
                        </pic:spPr>
                      </pic:pic>
                    </a:graphicData>
                  </a:graphic>
                </wp:anchor>
              </w:drawing>
            </w:r>
          </w:p>
        </w:tc>
        <w:tc>
          <w:tcPr/>
          <w:p w:rsidR="00000000" w:rsidDel="00000000" w:rsidP="00000000" w:rsidRDefault="00000000" w:rsidRPr="00000000" w14:paraId="00000052">
            <w:pPr>
              <w:spacing w:after="0" w:line="240" w:lineRule="auto"/>
              <w:jc w:val="both"/>
              <w:rPr>
                <w:rFonts w:ascii="Times New Roman" w:cs="Times New Roman" w:eastAsia="Times New Roman" w:hAnsi="Times New Roman"/>
                <w:b w:val="1"/>
              </w:rPr>
            </w:pPr>
            <w:r w:rsidDel="00000000" w:rsidR="00000000" w:rsidRPr="00000000">
              <w:rPr>
                <w:b w:val="1"/>
                <w:color w:val="004aad"/>
                <w:rtl w:val="0"/>
              </w:rPr>
              <w:t xml:space="preserve">Identify the problem</w:t>
            </w:r>
            <w:r w:rsidDel="00000000" w:rsidR="00000000" w:rsidRPr="00000000">
              <w:rPr>
                <w:rtl w:val="0"/>
              </w:rPr>
            </w:r>
          </w:p>
          <w:p w:rsidR="00000000" w:rsidDel="00000000" w:rsidP="00000000" w:rsidRDefault="00000000" w:rsidRPr="00000000" w14:paraId="00000053">
            <w:pPr>
              <w:spacing w:after="0" w:line="240" w:lineRule="auto"/>
              <w:jc w:val="both"/>
              <w:rPr>
                <w:color w:val="000000"/>
              </w:rPr>
            </w:pPr>
            <w:r w:rsidDel="00000000" w:rsidR="00000000" w:rsidRPr="00000000">
              <w:rPr>
                <w:color w:val="000000"/>
                <w:rtl w:val="0"/>
              </w:rPr>
              <w:t xml:space="preserve">Pinpoint the challenges you face in planning a campaign.  Are they limited funding, staff overwhelmed by overlapping campaigns and routine duties, poor intervention coverage, disease outbreaks, or others?</w:t>
            </w:r>
          </w:p>
          <w:p w:rsidR="00000000" w:rsidDel="00000000" w:rsidP="00000000" w:rsidRDefault="00000000" w:rsidRPr="00000000" w14:paraId="00000054">
            <w:pPr>
              <w:spacing w:after="0" w:line="240" w:lineRule="auto"/>
              <w:jc w:val="both"/>
              <w:rPr>
                <w:color w:val="000000"/>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1"/>
              </w:rPr>
            </w:pPr>
            <w:r w:rsidDel="00000000" w:rsidR="00000000" w:rsidRPr="00000000">
              <w:rPr>
                <w:b w:val="1"/>
                <w:color w:val="004aad"/>
                <w:rtl w:val="0"/>
              </w:rPr>
              <w:t xml:space="preserve">Determine if integrating campaigns is a viable way to address those problems</w:t>
            </w:r>
            <w:r w:rsidDel="00000000" w:rsidR="00000000" w:rsidRPr="00000000">
              <w:rPr>
                <w:rtl w:val="0"/>
              </w:rPr>
            </w:r>
          </w:p>
          <w:p w:rsidR="00000000" w:rsidDel="00000000" w:rsidP="00000000" w:rsidRDefault="00000000" w:rsidRPr="00000000" w14:paraId="00000057">
            <w:pPr>
              <w:spacing w:after="0" w:line="240" w:lineRule="auto"/>
              <w:jc w:val="both"/>
              <w:rPr>
                <w:color w:val="000000"/>
              </w:rPr>
            </w:pPr>
            <w:r w:rsidDel="00000000" w:rsidR="00000000" w:rsidRPr="00000000">
              <w:rPr>
                <w:color w:val="000000"/>
                <w:rtl w:val="0"/>
              </w:rPr>
              <w:t xml:space="preserve">Research whether the country has conducted integrated campaigns in the past, and if so, whether they were conducted well and met their targets.  Ask staff who participated in those campaigns to share their experience.  Locate and review previous campaign reports and tools.  Learn if different health programs have shared strategies and tools on certain parts of the campaign process such as microplanning, population census, logistics, communications or data collection; perhaps collaboration or partial-integration is more promising than co-delivery or full integration.</w:t>
            </w:r>
          </w:p>
          <w:p w:rsidR="00000000" w:rsidDel="00000000" w:rsidP="00000000" w:rsidRDefault="00000000" w:rsidRPr="00000000" w14:paraId="0000005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b w:val="1"/>
              </w:rPr>
            </w:pPr>
            <w:r w:rsidDel="00000000" w:rsidR="00000000" w:rsidRPr="00000000">
              <w:rPr>
                <w:b w:val="1"/>
                <w:color w:val="004aad"/>
                <w:rtl w:val="0"/>
              </w:rPr>
              <w:t xml:space="preserve">Engage leaders with the qualities and clout needed to generate interest in campaign integration.</w:t>
            </w:r>
            <w:r w:rsidDel="00000000" w:rsidR="00000000" w:rsidRPr="00000000">
              <w:rPr>
                <w:rtl w:val="0"/>
              </w:rPr>
            </w:r>
          </w:p>
          <w:p w:rsidR="00000000" w:rsidDel="00000000" w:rsidP="00000000" w:rsidRDefault="00000000" w:rsidRPr="00000000" w14:paraId="0000005B">
            <w:pPr>
              <w:spacing w:after="0" w:line="240" w:lineRule="auto"/>
              <w:jc w:val="both"/>
              <w:rPr>
                <w:color w:val="000000"/>
              </w:rPr>
            </w:pPr>
            <w:r w:rsidDel="00000000" w:rsidR="00000000" w:rsidRPr="00000000">
              <w:rPr>
                <w:color w:val="000000"/>
                <w:rtl w:val="0"/>
              </w:rPr>
              <w:t xml:space="preserve">Cultivate relationships with leaders and other individuals who have the knowledge, peer-recognition, and humility that can spark change. Look for key qualities such as: availability, accountability, spirit of advocacy, transparency, and ability to delegate</w:t>
            </w:r>
          </w:p>
          <w:p w:rsidR="00000000" w:rsidDel="00000000" w:rsidP="00000000" w:rsidRDefault="00000000" w:rsidRPr="00000000" w14:paraId="0000005C">
            <w:pPr>
              <w:spacing w:after="0" w:line="240" w:lineRule="auto"/>
              <w:jc w:val="both"/>
              <w:rPr>
                <w:color w:val="000000"/>
              </w:rPr>
            </w:pP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rPr>
            </w:pPr>
            <w:r w:rsidDel="00000000" w:rsidR="00000000" w:rsidRPr="00000000">
              <w:rPr>
                <w:b w:val="1"/>
                <w:color w:val="004aad"/>
                <w:rtl w:val="0"/>
              </w:rPr>
              <w:t xml:space="preserve">Identify the key decision-makers with the legal or administrative authority to approve an integrated strategy and/or to fund those efforts.</w:t>
            </w:r>
            <w:r w:rsidDel="00000000" w:rsidR="00000000" w:rsidRPr="00000000">
              <w:rPr>
                <w:rtl w:val="0"/>
              </w:rPr>
            </w:r>
          </w:p>
          <w:p w:rsidR="00000000" w:rsidDel="00000000" w:rsidP="00000000" w:rsidRDefault="00000000" w:rsidRPr="00000000" w14:paraId="0000005F">
            <w:pPr>
              <w:spacing w:after="0" w:line="240" w:lineRule="auto"/>
              <w:jc w:val="both"/>
              <w:rPr>
                <w:color w:val="004aad"/>
              </w:rPr>
            </w:pPr>
            <w:r w:rsidDel="00000000" w:rsidR="00000000" w:rsidRPr="00000000">
              <w:rPr>
                <w:color w:val="000000"/>
                <w:rtl w:val="0"/>
              </w:rPr>
              <w:t xml:space="preserve">Consult Government Ministries of Health, Finance, and Education where appropriate, along with key implementing partners who typically help finance the targeted health interventions.</w:t>
            </w:r>
            <w:r w:rsidDel="00000000" w:rsidR="00000000" w:rsidRPr="00000000">
              <w:rPr>
                <w:rtl w:val="0"/>
              </w:rPr>
            </w:r>
          </w:p>
        </w:tc>
        <w:tc>
          <w:tcPr/>
          <w:p w:rsidR="00000000" w:rsidDel="00000000" w:rsidP="00000000" w:rsidRDefault="00000000" w:rsidRPr="00000000" w14:paraId="00000060">
            <w:pPr>
              <w:spacing w:after="0" w:line="240" w:lineRule="auto"/>
              <w:rPr>
                <w:color w:val="004aad"/>
              </w:rPr>
            </w:pPr>
            <w:r w:rsidDel="00000000" w:rsidR="00000000" w:rsidRPr="00000000">
              <w:rPr>
                <w:rtl w:val="0"/>
              </w:rPr>
            </w:r>
          </w:p>
        </w:tc>
        <w:tc>
          <w:tcPr/>
          <w:p w:rsidR="00000000" w:rsidDel="00000000" w:rsidP="00000000" w:rsidRDefault="00000000" w:rsidRPr="00000000" w14:paraId="00000061">
            <w:pPr>
              <w:spacing w:after="0" w:line="240" w:lineRule="auto"/>
              <w:rPr>
                <w:color w:val="004aad"/>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5080</wp:posOffset>
                  </wp:positionH>
                  <wp:positionV relativeFrom="paragraph">
                    <wp:posOffset>0</wp:posOffset>
                  </wp:positionV>
                  <wp:extent cx="822960" cy="764697"/>
                  <wp:effectExtent b="0" l="0" r="0" t="0"/>
                  <wp:wrapSquare wrapText="bothSides" distB="0" distT="0" distL="0" distR="0"/>
                  <wp:docPr id="28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822960" cy="764697"/>
                          </a:xfrm>
                          <a:prstGeom prst="rect"/>
                          <a:ln/>
                        </pic:spPr>
                      </pic:pic>
                    </a:graphicData>
                  </a:graphic>
                </wp:anchor>
              </w:drawing>
            </w:r>
          </w:p>
          <w:p w:rsidR="00000000" w:rsidDel="00000000" w:rsidP="00000000" w:rsidRDefault="00000000" w:rsidRPr="00000000" w14:paraId="0000006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wp:posOffset>
                  </wp:positionH>
                  <wp:positionV relativeFrom="paragraph">
                    <wp:posOffset>395936</wp:posOffset>
                  </wp:positionV>
                  <wp:extent cx="854765" cy="705709"/>
                  <wp:effectExtent b="0" l="0" r="0" t="0"/>
                  <wp:wrapSquare wrapText="bothSides" distB="0" distT="0" distL="0" distR="0"/>
                  <wp:docPr id="31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854765" cy="705709"/>
                          </a:xfrm>
                          <a:prstGeom prst="rect"/>
                          <a:ln/>
                        </pic:spPr>
                      </pic:pic>
                    </a:graphicData>
                  </a:graphic>
                </wp:anchor>
              </w:drawing>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color w:val="004aad"/>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80728</wp:posOffset>
                  </wp:positionH>
                  <wp:positionV relativeFrom="paragraph">
                    <wp:posOffset>309245</wp:posOffset>
                  </wp:positionV>
                  <wp:extent cx="704850" cy="715010"/>
                  <wp:effectExtent b="0" l="0" r="0" t="0"/>
                  <wp:wrapSquare wrapText="bothSides" distB="0" distT="0" distL="0" distR="0"/>
                  <wp:docPr id="28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704850" cy="715010"/>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065">
            <w:pPr>
              <w:spacing w:after="0" w:line="240" w:lineRule="auto"/>
              <w:jc w:val="both"/>
              <w:rPr>
                <w:rFonts w:ascii="Times New Roman" w:cs="Times New Roman" w:eastAsia="Times New Roman" w:hAnsi="Times New Roman"/>
                <w:b w:val="1"/>
              </w:rPr>
            </w:pPr>
            <w:r w:rsidDel="00000000" w:rsidR="00000000" w:rsidRPr="00000000">
              <w:rPr>
                <w:b w:val="1"/>
                <w:color w:val="004aad"/>
                <w:rtl w:val="0"/>
              </w:rPr>
              <w:t xml:space="preserve">Ensure equity by reaching out to a broad array of stakeholders at the national, district and community levels in exploring campaign integration.</w:t>
            </w:r>
            <w:r w:rsidDel="00000000" w:rsidR="00000000" w:rsidRPr="00000000">
              <w:rPr>
                <w:rtl w:val="0"/>
              </w:rPr>
            </w:r>
          </w:p>
          <w:p w:rsidR="00000000" w:rsidDel="00000000" w:rsidP="00000000" w:rsidRDefault="00000000" w:rsidRPr="00000000" w14:paraId="00000066">
            <w:pPr>
              <w:spacing w:after="0" w:line="240" w:lineRule="auto"/>
              <w:jc w:val="both"/>
              <w:rPr>
                <w:color w:val="000000"/>
              </w:rPr>
            </w:pPr>
            <w:r w:rsidDel="00000000" w:rsidR="00000000" w:rsidRPr="00000000">
              <w:rPr>
                <w:color w:val="000000"/>
                <w:rtl w:val="0"/>
              </w:rPr>
              <w:t xml:space="preserve">Include stakeholders such as health workers, community, faith and traditional leaders, community agents, medical and nursing organizations, academic institutions, and faith-based agencies. Include both supporters and opponents of integration. Take care to encourage constructive dialogue rather than imposing solutions.</w:t>
            </w:r>
          </w:p>
          <w:p w:rsidR="00000000" w:rsidDel="00000000" w:rsidP="00000000" w:rsidRDefault="00000000" w:rsidRPr="00000000" w14:paraId="00000067">
            <w:pPr>
              <w:spacing w:after="0" w:line="240" w:lineRule="auto"/>
              <w:jc w:val="both"/>
              <w:rPr>
                <w:color w:val="000000"/>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b w:val="1"/>
              </w:rPr>
            </w:pPr>
            <w:r w:rsidDel="00000000" w:rsidR="00000000" w:rsidRPr="00000000">
              <w:rPr>
                <w:b w:val="1"/>
                <w:color w:val="004aad"/>
                <w:rtl w:val="0"/>
              </w:rPr>
              <w:t xml:space="preserve">Encourage individuals or organizations in-country that express interest in campaign integration to start the conversation.</w:t>
            </w:r>
            <w:r w:rsidDel="00000000" w:rsidR="00000000" w:rsidRPr="00000000">
              <w:rPr>
                <w:rtl w:val="0"/>
              </w:rPr>
            </w:r>
          </w:p>
          <w:p w:rsidR="00000000" w:rsidDel="00000000" w:rsidP="00000000" w:rsidRDefault="00000000" w:rsidRPr="00000000" w14:paraId="0000006A">
            <w:pPr>
              <w:spacing w:after="0" w:line="240" w:lineRule="auto"/>
              <w:jc w:val="both"/>
              <w:rPr>
                <w:color w:val="000000"/>
              </w:rPr>
            </w:pPr>
            <w:r w:rsidDel="00000000" w:rsidR="00000000" w:rsidRPr="00000000">
              <w:rPr>
                <w:color w:val="000000"/>
                <w:rtl w:val="0"/>
              </w:rPr>
              <w:t xml:space="preserve">Suggest or seek guidance on the best timing, setting and group of individuals or organizations for that conversation. Outline the objectives of those initial discussions and incorporate the decision-making process described below in the agenda and work plan. </w:t>
            </w:r>
          </w:p>
          <w:p w:rsidR="00000000" w:rsidDel="00000000" w:rsidP="00000000" w:rsidRDefault="00000000" w:rsidRPr="00000000" w14:paraId="0000006B">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06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b w:val="1"/>
              </w:rPr>
            </w:pPr>
            <w:r w:rsidDel="00000000" w:rsidR="00000000" w:rsidRPr="00000000">
              <w:rPr>
                <w:b w:val="1"/>
                <w:color w:val="004aad"/>
                <w:rtl w:val="0"/>
              </w:rPr>
              <w:t xml:space="preserve">Select an optimal setting for the conversation</w:t>
            </w: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rPr>
            </w:pPr>
            <w:r w:rsidDel="00000000" w:rsidR="00000000" w:rsidRPr="00000000">
              <w:rPr>
                <w:color w:val="000000"/>
                <w:rtl w:val="0"/>
              </w:rPr>
              <w:t xml:space="preserve">Take advantage of routine coordination meetings of the Ministry of Health and partners to include integration on the agenda. Bring this toolkit!</w:t>
            </w:r>
            <w:r w:rsidDel="00000000" w:rsidR="00000000" w:rsidRPr="00000000">
              <w:rPr>
                <w:rtl w:val="0"/>
              </w:rPr>
            </w:r>
          </w:p>
        </w:tc>
      </w:tr>
    </w:tbl>
    <w:p w:rsidR="00000000" w:rsidDel="00000000" w:rsidP="00000000" w:rsidRDefault="00000000" w:rsidRPr="00000000" w14:paraId="0000006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0">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0" w:before="0" w:line="240" w:lineRule="auto"/>
        <w:ind w:left="864" w:right="864" w:firstLine="0"/>
        <w:jc w:val="center"/>
        <w:rPr>
          <w:rFonts w:ascii="Times New Roman" w:cs="Times New Roman" w:eastAsia="Times New Roman" w:hAnsi="Times New Roman"/>
          <w:b w:val="1"/>
          <w:i w:val="0"/>
          <w:smallCaps w:val="0"/>
          <w:strike w:val="0"/>
          <w:color w:val="4472c4"/>
          <w:sz w:val="22"/>
          <w:szCs w:val="22"/>
          <w:u w:val="none"/>
          <w:shd w:fill="auto" w:val="clear"/>
          <w:vertAlign w:val="baseline"/>
        </w:rPr>
      </w:pPr>
      <w:bookmarkStart w:colFirst="0" w:colLast="0" w:name="_heading=h.3dy6vkm" w:id="7"/>
      <w:bookmarkEnd w:id="7"/>
      <w:r w:rsidDel="00000000" w:rsidR="00000000" w:rsidRPr="00000000">
        <w:rPr>
          <w:rFonts w:ascii="Calibri" w:cs="Calibri" w:eastAsia="Calibri" w:hAnsi="Calibri"/>
          <w:b w:val="1"/>
          <w:i w:val="0"/>
          <w:smallCaps w:val="0"/>
          <w:strike w:val="0"/>
          <w:color w:val="4472c4"/>
          <w:sz w:val="32"/>
          <w:szCs w:val="32"/>
          <w:u w:val="none"/>
          <w:shd w:fill="auto" w:val="clear"/>
          <w:vertAlign w:val="baseline"/>
          <w:rtl w:val="0"/>
        </w:rPr>
        <w:t xml:space="preserve">Step 2a:</w:t>
      </w: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 Explore the Possibilities and Identify Pairings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This tool gives a visual representation of how to explore the pairing of different health interventions by facilitators and barriers to each combination.</w:t>
      </w:r>
      <w:r w:rsidDel="00000000" w:rsidR="00000000" w:rsidRPr="00000000">
        <w:rPr>
          <w:rtl w:val="0"/>
        </w:rPr>
      </w:r>
    </w:p>
    <w:p w:rsidR="00000000" w:rsidDel="00000000" w:rsidP="00000000" w:rsidRDefault="00000000" w:rsidRPr="00000000" w14:paraId="00000071">
      <w:pPr>
        <w:pStyle w:val="Heading1"/>
        <w:spacing w:before="0" w:lineRule="auto"/>
        <w:jc w:val="center"/>
        <w:rPr>
          <w:rFonts w:ascii="Calibri" w:cs="Calibri" w:eastAsia="Calibri" w:hAnsi="Calibri"/>
          <w:b w:val="1"/>
          <w:color w:val="000000"/>
        </w:rPr>
      </w:pPr>
      <w:bookmarkStart w:colFirst="0" w:colLast="0" w:name="_heading=h.1t3h5sf" w:id="8"/>
      <w:bookmarkEnd w:id="8"/>
      <w:r w:rsidDel="00000000" w:rsidR="00000000" w:rsidRPr="00000000">
        <w:rPr>
          <w:rFonts w:ascii="Calibri" w:cs="Calibri" w:eastAsia="Calibri" w:hAnsi="Calibri"/>
          <w:b w:val="1"/>
          <w:color w:val="000000"/>
          <w:rtl w:val="0"/>
        </w:rPr>
        <w:t xml:space="preserve">Decision Guidance Tool to Identify Facilitators and Barriers for Full Campaign Integration/Co-delivery, by Health Intervention</w:t>
      </w:r>
    </w:p>
    <w:tbl>
      <w:tblPr>
        <w:tblStyle w:val="Table3"/>
        <w:tblW w:w="19784.999999999996" w:type="dxa"/>
        <w:jc w:val="center"/>
        <w:tblBorders>
          <w:top w:color="b8cce4" w:space="0" w:sz="8" w:val="single"/>
          <w:left w:color="b8cce4" w:space="0" w:sz="8" w:val="single"/>
          <w:bottom w:color="b8cce4" w:space="0" w:sz="8" w:val="single"/>
          <w:right w:color="b8cce4" w:space="0" w:sz="8" w:val="single"/>
          <w:insideH w:color="b8cce4" w:space="0" w:sz="6" w:val="single"/>
          <w:insideV w:color="b8cce4" w:space="0" w:sz="6" w:val="single"/>
        </w:tblBorders>
        <w:tblLayout w:type="fixed"/>
        <w:tblLook w:val="04A0"/>
      </w:tblPr>
      <w:tblGrid>
        <w:gridCol w:w="4669"/>
        <w:gridCol w:w="1080"/>
        <w:gridCol w:w="1080"/>
        <w:gridCol w:w="1080"/>
        <w:gridCol w:w="1080"/>
        <w:gridCol w:w="1085"/>
        <w:gridCol w:w="1081"/>
        <w:gridCol w:w="1082"/>
        <w:gridCol w:w="1081"/>
        <w:gridCol w:w="1081"/>
        <w:gridCol w:w="1081"/>
        <w:gridCol w:w="1261"/>
        <w:gridCol w:w="904"/>
        <w:gridCol w:w="1081"/>
        <w:gridCol w:w="1059"/>
        <w:tblGridChange w:id="0">
          <w:tblGrid>
            <w:gridCol w:w="4669"/>
            <w:gridCol w:w="1080"/>
            <w:gridCol w:w="1080"/>
            <w:gridCol w:w="1080"/>
            <w:gridCol w:w="1080"/>
            <w:gridCol w:w="1085"/>
            <w:gridCol w:w="1081"/>
            <w:gridCol w:w="1082"/>
            <w:gridCol w:w="1081"/>
            <w:gridCol w:w="1081"/>
            <w:gridCol w:w="1081"/>
            <w:gridCol w:w="1261"/>
            <w:gridCol w:w="904"/>
            <w:gridCol w:w="1081"/>
            <w:gridCol w:w="1059"/>
          </w:tblGrid>
        </w:tblGridChange>
      </w:tblGrid>
      <w:tr>
        <w:trPr>
          <w:trHeight w:val="519" w:hRule="atLeast"/>
        </w:trPr>
        <w:tc>
          <w:tcPr>
            <w:vMerge w:val="restart"/>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072">
            <w:pPr>
              <w:rPr>
                <w:rFonts w:ascii="Calibri" w:cs="Calibri" w:eastAsia="Calibri" w:hAnsi="Calibri"/>
                <w:sz w:val="22"/>
                <w:szCs w:val="22"/>
              </w:rPr>
            </w:pPr>
            <w:bookmarkStart w:colFirst="0" w:colLast="0" w:name="_heading=h.1ksv4uv" w:id="9"/>
            <w:bookmarkEnd w:id="9"/>
            <w:r w:rsidDel="00000000" w:rsidR="00000000" w:rsidRPr="00000000">
              <w:rPr>
                <w:rFonts w:ascii="Calibri" w:cs="Calibri" w:eastAsia="Calibri" w:hAnsi="Calibri"/>
                <w:color w:val="000000"/>
                <w:sz w:val="22"/>
                <w:szCs w:val="22"/>
                <w:rtl w:val="0"/>
              </w:rPr>
              <w:t xml:space="preserve">Health Intervention</w:t>
            </w:r>
            <w:r w:rsidDel="00000000" w:rsidR="00000000" w:rsidRPr="00000000">
              <w:rPr>
                <w:rtl w:val="0"/>
              </w:rPr>
            </w:r>
          </w:p>
        </w:tc>
        <w:tc>
          <w:tcPr>
            <w:gridSpan w:val="5"/>
            <w:tcBorders>
              <w:top w:color="000000" w:space="0" w:sz="12" w:val="single"/>
              <w:left w:color="000000" w:space="0" w:sz="12" w:val="single"/>
              <w:bottom w:color="000000" w:space="0" w:sz="12" w:val="single"/>
              <w:right w:color="000000" w:space="0" w:sz="4" w:val="single"/>
            </w:tcBorders>
            <w:shd w:fill="fdeada" w:val="clear"/>
            <w:vAlign w:val="center"/>
          </w:tcPr>
          <w:p w:rsidR="00000000" w:rsidDel="00000000" w:rsidP="00000000" w:rsidRDefault="00000000" w:rsidRPr="00000000" w14:paraId="0000007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Immunization</w:t>
            </w:r>
          </w:p>
        </w:tc>
        <w:tc>
          <w:tcPr>
            <w:gridSpan w:val="2"/>
            <w:tcBorders>
              <w:top w:color="000000" w:space="0" w:sz="12" w:val="single"/>
              <w:left w:color="000000" w:space="0" w:sz="4" w:val="single"/>
              <w:bottom w:color="000000" w:space="0" w:sz="12" w:val="single"/>
              <w:right w:color="000000" w:space="0" w:sz="4" w:val="single"/>
            </w:tcBorders>
            <w:shd w:fill="dbeef3" w:val="clear"/>
            <w:vAlign w:val="center"/>
          </w:tcPr>
          <w:p w:rsidR="00000000" w:rsidDel="00000000" w:rsidP="00000000" w:rsidRDefault="00000000" w:rsidRPr="00000000" w14:paraId="0000007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Malaria</w:t>
            </w:r>
          </w:p>
        </w:tc>
        <w:tc>
          <w:tcPr>
            <w:gridSpan w:val="5"/>
            <w:tcBorders>
              <w:top w:color="000000" w:space="0" w:sz="12" w:val="single"/>
              <w:left w:color="000000" w:space="0" w:sz="4" w:val="single"/>
              <w:bottom w:color="000000" w:space="0" w:sz="12" w:val="single"/>
              <w:right w:color="000000" w:space="0" w:sz="4" w:val="single"/>
            </w:tcBorders>
            <w:shd w:fill="fdeada" w:val="clear"/>
            <w:vAlign w:val="center"/>
          </w:tcPr>
          <w:p w:rsidR="00000000" w:rsidDel="00000000" w:rsidP="00000000" w:rsidRDefault="00000000" w:rsidRPr="00000000" w14:paraId="0000007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Neglected Tropical Diseases</w:t>
            </w:r>
          </w:p>
        </w:tc>
        <w:tc>
          <w:tcPr>
            <w:gridSpan w:val="2"/>
            <w:tcBorders>
              <w:top w:color="000000" w:space="0" w:sz="12" w:val="single"/>
              <w:left w:color="000000" w:space="0" w:sz="4" w:val="single"/>
              <w:bottom w:color="000000" w:space="0" w:sz="12" w:val="single"/>
              <w:right w:color="000000" w:space="0" w:sz="12" w:val="single"/>
            </w:tcBorders>
            <w:shd w:fill="dbeef3" w:val="clear"/>
            <w:vAlign w:val="center"/>
          </w:tcPr>
          <w:p w:rsidR="00000000" w:rsidDel="00000000" w:rsidP="00000000" w:rsidRDefault="00000000" w:rsidRPr="00000000" w14:paraId="0000007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Nutrition</w:t>
            </w:r>
          </w:p>
        </w:tc>
      </w:tr>
      <w:tr>
        <w:trPr>
          <w:trHeight w:val="519" w:hRule="atLeast"/>
        </w:trPr>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12" w:val="single"/>
              <w:left w:color="000000" w:space="0" w:sz="12" w:val="single"/>
              <w:bottom w:color="000000" w:space="0" w:sz="12" w:val="single"/>
              <w:right w:color="b8cce4" w:space="0" w:sz="8" w:val="single"/>
            </w:tcBorders>
            <w:vAlign w:val="center"/>
          </w:tcPr>
          <w:p w:rsidR="00000000" w:rsidDel="00000000" w:rsidP="00000000" w:rsidRDefault="00000000" w:rsidRPr="00000000" w14:paraId="00000082">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OPV</w:t>
            </w:r>
          </w:p>
        </w:tc>
        <w:tc>
          <w:tcPr>
            <w:tcBorders>
              <w:top w:color="000000" w:space="0" w:sz="12" w:val="single"/>
              <w:left w:color="b8cce4" w:space="0" w:sz="8" w:val="single"/>
              <w:bottom w:color="000000" w:space="0" w:sz="12" w:val="single"/>
              <w:right w:color="000000" w:space="0" w:sz="4" w:val="single"/>
            </w:tcBorders>
            <w:vAlign w:val="center"/>
          </w:tcPr>
          <w:p w:rsidR="00000000" w:rsidDel="00000000" w:rsidP="00000000" w:rsidRDefault="00000000" w:rsidRPr="00000000" w14:paraId="00000083">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IPV</w:t>
            </w:r>
          </w:p>
        </w:tc>
        <w:tc>
          <w:tcPr>
            <w:tcBorders>
              <w:top w:color="000000" w:space="0" w:sz="12" w:val="single"/>
              <w:left w:color="000000" w:space="0" w:sz="4" w:val="single"/>
              <w:bottom w:color="000000" w:space="0" w:sz="12" w:val="single"/>
              <w:right w:color="b8cce4" w:space="0" w:sz="8" w:val="single"/>
            </w:tcBorders>
            <w:vAlign w:val="center"/>
          </w:tcPr>
          <w:p w:rsidR="00000000" w:rsidDel="00000000" w:rsidP="00000000" w:rsidRDefault="00000000" w:rsidRPr="00000000" w14:paraId="00000084">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MCV</w:t>
            </w:r>
          </w:p>
        </w:tc>
        <w:tc>
          <w:tcPr>
            <w:tcBorders>
              <w:top w:color="000000" w:space="0" w:sz="12" w:val="single"/>
              <w:left w:color="b8cce4" w:space="0" w:sz="8" w:val="single"/>
              <w:bottom w:color="000000" w:space="0" w:sz="12" w:val="single"/>
              <w:right w:color="b8cce4" w:space="0" w:sz="8" w:val="single"/>
            </w:tcBorders>
            <w:vAlign w:val="center"/>
          </w:tcPr>
          <w:p w:rsidR="00000000" w:rsidDel="00000000" w:rsidP="00000000" w:rsidRDefault="00000000" w:rsidRPr="00000000" w14:paraId="00000085">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Men</w:t>
            </w:r>
          </w:p>
        </w:tc>
        <w:tc>
          <w:tcPr>
            <w:tcBorders>
              <w:top w:color="000000" w:space="0" w:sz="12" w:val="single"/>
              <w:left w:color="b8cce4" w:space="0" w:sz="8" w:val="single"/>
              <w:bottom w:color="000000" w:space="0" w:sz="12" w:val="single"/>
              <w:right w:color="000000" w:space="0" w:sz="4" w:val="single"/>
            </w:tcBorders>
            <w:vAlign w:val="center"/>
          </w:tcPr>
          <w:p w:rsidR="00000000" w:rsidDel="00000000" w:rsidP="00000000" w:rsidRDefault="00000000" w:rsidRPr="00000000" w14:paraId="00000086">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YF</w:t>
            </w:r>
          </w:p>
        </w:tc>
        <w:tc>
          <w:tcPr>
            <w:tcBorders>
              <w:top w:color="000000" w:space="0" w:sz="12" w:val="single"/>
              <w:left w:color="000000" w:space="0" w:sz="4" w:val="single"/>
              <w:bottom w:color="000000" w:space="0" w:sz="12" w:val="single"/>
              <w:right w:color="b8cce4" w:space="0" w:sz="8" w:val="single"/>
            </w:tcBorders>
            <w:vAlign w:val="center"/>
          </w:tcPr>
          <w:p w:rsidR="00000000" w:rsidDel="00000000" w:rsidP="00000000" w:rsidRDefault="00000000" w:rsidRPr="00000000" w14:paraId="00000087">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ITNs</w:t>
            </w:r>
          </w:p>
        </w:tc>
        <w:tc>
          <w:tcPr>
            <w:tcBorders>
              <w:top w:color="000000" w:space="0" w:sz="12" w:val="single"/>
              <w:left w:color="b8cce4" w:space="0" w:sz="8" w:val="single"/>
              <w:bottom w:color="000000" w:space="0" w:sz="12" w:val="single"/>
              <w:right w:color="000000" w:space="0" w:sz="4" w:val="single"/>
            </w:tcBorders>
            <w:vAlign w:val="center"/>
          </w:tcPr>
          <w:p w:rsidR="00000000" w:rsidDel="00000000" w:rsidP="00000000" w:rsidRDefault="00000000" w:rsidRPr="00000000" w14:paraId="00000088">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SMC</w:t>
            </w:r>
          </w:p>
        </w:tc>
        <w:tc>
          <w:tcPr>
            <w:tcBorders>
              <w:top w:color="000000" w:space="0" w:sz="12" w:val="single"/>
              <w:left w:color="000000" w:space="0" w:sz="4" w:val="single"/>
              <w:bottom w:color="000000" w:space="0" w:sz="12" w:val="single"/>
              <w:right w:color="b8cce4" w:space="0" w:sz="8" w:val="single"/>
            </w:tcBorders>
            <w:vAlign w:val="center"/>
          </w:tcPr>
          <w:p w:rsidR="00000000" w:rsidDel="00000000" w:rsidP="00000000" w:rsidRDefault="00000000" w:rsidRPr="00000000" w14:paraId="00000089">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LF</w:t>
            </w:r>
          </w:p>
        </w:tc>
        <w:tc>
          <w:tcPr>
            <w:tcBorders>
              <w:top w:color="000000" w:space="0" w:sz="12" w:val="single"/>
              <w:left w:color="b8cce4" w:space="0" w:sz="8" w:val="single"/>
              <w:bottom w:color="000000" w:space="0" w:sz="12" w:val="single"/>
              <w:right w:color="b8cce4" w:space="0" w:sz="8" w:val="single"/>
            </w:tcBorders>
            <w:vAlign w:val="center"/>
          </w:tcPr>
          <w:p w:rsidR="00000000" w:rsidDel="00000000" w:rsidP="00000000" w:rsidRDefault="00000000" w:rsidRPr="00000000" w14:paraId="0000008A">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Oncho</w:t>
            </w:r>
          </w:p>
        </w:tc>
        <w:tc>
          <w:tcPr>
            <w:tcBorders>
              <w:top w:color="000000" w:space="0" w:sz="12" w:val="single"/>
              <w:left w:color="b8cce4" w:space="0" w:sz="8" w:val="single"/>
              <w:bottom w:color="000000" w:space="0" w:sz="12" w:val="single"/>
              <w:right w:color="b8cce4" w:space="0" w:sz="8" w:val="single"/>
            </w:tcBorders>
            <w:vAlign w:val="center"/>
          </w:tcPr>
          <w:p w:rsidR="00000000" w:rsidDel="00000000" w:rsidP="00000000" w:rsidRDefault="00000000" w:rsidRPr="00000000" w14:paraId="0000008B">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SS</w:t>
            </w:r>
          </w:p>
        </w:tc>
        <w:tc>
          <w:tcPr>
            <w:tcBorders>
              <w:top w:color="000000" w:space="0" w:sz="12" w:val="single"/>
              <w:left w:color="b8cce4" w:space="0" w:sz="8" w:val="single"/>
              <w:bottom w:color="000000" w:space="0" w:sz="12" w:val="single"/>
              <w:right w:color="000000" w:space="0" w:sz="4" w:val="single"/>
            </w:tcBorders>
            <w:vAlign w:val="center"/>
          </w:tcPr>
          <w:p w:rsidR="00000000" w:rsidDel="00000000" w:rsidP="00000000" w:rsidRDefault="00000000" w:rsidRPr="00000000" w14:paraId="0000008C">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STH (deworming)</w:t>
            </w:r>
          </w:p>
        </w:tc>
        <w:tc>
          <w:tcPr>
            <w:tcBorders>
              <w:top w:color="000000" w:space="0" w:sz="12" w:val="single"/>
              <w:left w:color="b8cce4" w:space="0" w:sz="8" w:val="single"/>
              <w:bottom w:color="000000" w:space="0" w:sz="12" w:val="single"/>
              <w:right w:color="000000" w:space="0" w:sz="4" w:val="single"/>
            </w:tcBorders>
            <w:vAlign w:val="center"/>
          </w:tcPr>
          <w:p w:rsidR="00000000" w:rsidDel="00000000" w:rsidP="00000000" w:rsidRDefault="00000000" w:rsidRPr="00000000" w14:paraId="0000008D">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Trach</w:t>
            </w:r>
          </w:p>
        </w:tc>
        <w:tc>
          <w:tcPr>
            <w:tcBorders>
              <w:top w:color="000000" w:space="0" w:sz="12" w:val="single"/>
              <w:left w:color="000000" w:space="0" w:sz="4" w:val="single"/>
              <w:bottom w:color="000000" w:space="0" w:sz="12" w:val="single"/>
              <w:right w:color="b8cce4" w:space="0" w:sz="6" w:val="single"/>
            </w:tcBorders>
            <w:vAlign w:val="center"/>
          </w:tcPr>
          <w:p w:rsidR="00000000" w:rsidDel="00000000" w:rsidP="00000000" w:rsidRDefault="00000000" w:rsidRPr="00000000" w14:paraId="0000008E">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VitA</w:t>
            </w:r>
          </w:p>
        </w:tc>
        <w:tc>
          <w:tcPr>
            <w:tcBorders>
              <w:top w:color="000000" w:space="0" w:sz="12" w:val="single"/>
              <w:left w:color="b8cce4" w:space="0" w:sz="6" w:val="single"/>
              <w:bottom w:color="000000" w:space="0" w:sz="12" w:val="single"/>
              <w:right w:color="000000" w:space="0" w:sz="12" w:val="single"/>
            </w:tcBorders>
            <w:vAlign w:val="center"/>
          </w:tcPr>
          <w:p w:rsidR="00000000" w:rsidDel="00000000" w:rsidP="00000000" w:rsidRDefault="00000000" w:rsidRPr="00000000" w14:paraId="0000008F">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Maln</w:t>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0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Polio (OPV)</w:t>
            </w:r>
          </w:p>
        </w:tc>
        <w:tc>
          <w:tcPr>
            <w:tcBorders>
              <w:top w:color="000000" w:space="0" w:sz="0" w:val="nil"/>
              <w:left w:color="000000" w:space="0" w:sz="12" w:val="single"/>
              <w:bottom w:color="000000" w:space="0" w:sz="0" w:val="nil"/>
              <w:right w:color="000000" w:space="0" w:sz="0" w:val="nil"/>
            </w:tcBorders>
            <w:shd w:fill="808080" w:val="clear"/>
          </w:tcPr>
          <w:p w:rsidR="00000000" w:rsidDel="00000000" w:rsidP="00000000" w:rsidRDefault="00000000" w:rsidRPr="00000000" w14:paraId="00000091">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0" w:val="nil"/>
              <w:bottom w:color="000000" w:space="0" w:sz="0" w:val="nil"/>
              <w:right w:color="000000" w:space="0" w:sz="4" w:val="single"/>
            </w:tcBorders>
            <w:shd w:fill="808080" w:val="clear"/>
          </w:tcPr>
          <w:p w:rsidR="00000000" w:rsidDel="00000000" w:rsidP="00000000" w:rsidRDefault="00000000" w:rsidRPr="00000000" w14:paraId="00000092">
            <w:pPr>
              <w:rPr>
                <w:rFonts w:ascii="Calibri" w:cs="Calibri" w:eastAsia="Calibri" w:hAnsi="Calibri"/>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9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9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9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99">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9A">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9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9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9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9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9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tcPr>
          <w:p w:rsidR="00000000" w:rsidDel="00000000" w:rsidP="00000000" w:rsidRDefault="00000000" w:rsidRPr="00000000" w14:paraId="000000A0">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tcPr>
          <w:p w:rsidR="00000000" w:rsidDel="00000000" w:rsidP="00000000" w:rsidRDefault="00000000" w:rsidRPr="00000000" w14:paraId="000000A1">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0A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Polio (IPV)</w:t>
            </w:r>
          </w:p>
        </w:tc>
        <w:tc>
          <w:tcPr>
            <w:tcBorders>
              <w:top w:color="000000" w:space="0" w:sz="0" w:val="nil"/>
              <w:left w:color="000000" w:space="0" w:sz="12" w:val="single"/>
              <w:bottom w:color="000000" w:space="0" w:sz="0" w:val="nil"/>
            </w:tcBorders>
            <w:shd w:fill="808080" w:val="clear"/>
          </w:tcPr>
          <w:p w:rsidR="00000000" w:rsidDel="00000000" w:rsidP="00000000" w:rsidRDefault="00000000" w:rsidRPr="00000000" w14:paraId="000000A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A4">
            <w:pPr>
              <w:rPr>
                <w:rFonts w:ascii="Calibri" w:cs="Calibri" w:eastAsia="Calibri" w:hAnsi="Calibri"/>
                <w:color w:val="000000"/>
                <w:sz w:val="22"/>
                <w:szCs w:val="22"/>
              </w:rPr>
            </w:pPr>
            <w:r w:rsidDel="00000000" w:rsidR="00000000" w:rsidRPr="00000000">
              <w:rPr>
                <w:rtl w:val="0"/>
              </w:rPr>
            </w:r>
          </w:p>
        </w:tc>
        <w:tc>
          <w:tcPr>
            <w:tcBorders>
              <w:top w:color="b8cce4" w:space="0" w:sz="8" w:val="single"/>
              <w:bottom w:color="000000" w:space="0" w:sz="0" w:val="nil"/>
              <w:right w:color="b8cce4" w:space="0" w:sz="8" w:val="single"/>
            </w:tcBorders>
          </w:tcPr>
          <w:p w:rsidR="00000000" w:rsidDel="00000000" w:rsidP="00000000" w:rsidRDefault="00000000" w:rsidRPr="00000000" w14:paraId="000000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A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A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A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A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A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A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A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B0">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B1">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tcPr>
          <w:p w:rsidR="00000000" w:rsidDel="00000000" w:rsidP="00000000" w:rsidRDefault="00000000" w:rsidRPr="00000000" w14:paraId="000000B2">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tcPr>
          <w:p w:rsidR="00000000" w:rsidDel="00000000" w:rsidP="00000000" w:rsidRDefault="00000000" w:rsidRPr="00000000" w14:paraId="000000B3">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0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Measles (MCV)</w:t>
            </w:r>
          </w:p>
        </w:tc>
        <w:tc>
          <w:tcPr>
            <w:tcBorders>
              <w:top w:color="000000" w:space="0" w:sz="0" w:val="nil"/>
              <w:left w:color="000000" w:space="0" w:sz="12" w:val="single"/>
              <w:bottom w:color="000000" w:space="0" w:sz="0" w:val="nil"/>
              <w:right w:color="000000" w:space="0" w:sz="0" w:val="nil"/>
            </w:tcBorders>
            <w:shd w:fill="808080" w:val="clear"/>
          </w:tcPr>
          <w:p w:rsidR="00000000" w:rsidDel="00000000" w:rsidP="00000000" w:rsidRDefault="00000000" w:rsidRPr="00000000" w14:paraId="000000B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B6">
            <w:pP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B7">
            <w:pPr>
              <w:rPr>
                <w:rFonts w:ascii="Calibri" w:cs="Calibri" w:eastAsia="Calibri" w:hAnsi="Calibri"/>
                <w:color w:val="000000"/>
                <w:sz w:val="22"/>
                <w:szCs w:val="22"/>
              </w:rPr>
            </w:pPr>
            <w:r w:rsidDel="00000000" w:rsidR="00000000" w:rsidRPr="00000000">
              <w:rPr>
                <w:rtl w:val="0"/>
              </w:rPr>
            </w:r>
          </w:p>
        </w:tc>
        <w:tc>
          <w:tcPr>
            <w:tcBorders>
              <w:top w:color="b8cce4" w:space="0" w:sz="8" w:val="single"/>
              <w:left w:color="000000" w:space="0" w:sz="0" w:val="nil"/>
              <w:bottom w:color="000000" w:space="0" w:sz="0" w:val="nil"/>
              <w:right w:color="b8cce4" w:space="0" w:sz="8" w:val="single"/>
            </w:tcBorders>
          </w:tcPr>
          <w:p w:rsidR="00000000" w:rsidDel="00000000" w:rsidP="00000000" w:rsidRDefault="00000000" w:rsidRPr="00000000" w14:paraId="000000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B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B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B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B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B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C0">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C1">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C2">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tcPr>
          <w:p w:rsidR="00000000" w:rsidDel="00000000" w:rsidP="00000000" w:rsidRDefault="00000000" w:rsidRPr="00000000" w14:paraId="000000C3">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tcPr>
          <w:p w:rsidR="00000000" w:rsidDel="00000000" w:rsidP="00000000" w:rsidRDefault="00000000" w:rsidRPr="00000000" w14:paraId="000000C4">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0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Meningitis (Men)</w:t>
            </w:r>
          </w:p>
        </w:tc>
        <w:tc>
          <w:tcPr>
            <w:tcBorders>
              <w:top w:color="000000" w:space="0" w:sz="0" w:val="nil"/>
              <w:left w:color="000000" w:space="0" w:sz="12" w:val="single"/>
              <w:bottom w:color="000000" w:space="0" w:sz="0" w:val="nil"/>
            </w:tcBorders>
            <w:shd w:fill="808080" w:val="clear"/>
          </w:tcPr>
          <w:p w:rsidR="00000000" w:rsidDel="00000000" w:rsidP="00000000" w:rsidRDefault="00000000" w:rsidRPr="00000000" w14:paraId="000000C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C7">
            <w:pPr>
              <w:rPr>
                <w:rFonts w:ascii="Calibri" w:cs="Calibri" w:eastAsia="Calibri" w:hAnsi="Calibri"/>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C8">
            <w:pPr>
              <w:rPr>
                <w:rFonts w:ascii="Calibri" w:cs="Calibri" w:eastAsia="Calibri" w:hAnsi="Calibri"/>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C9">
            <w:pPr>
              <w:rPr>
                <w:rFonts w:ascii="Calibri" w:cs="Calibri" w:eastAsia="Calibri" w:hAnsi="Calibri"/>
                <w:color w:val="000000"/>
                <w:sz w:val="22"/>
                <w:szCs w:val="22"/>
              </w:rPr>
            </w:pPr>
            <w:r w:rsidDel="00000000" w:rsidR="00000000" w:rsidRPr="00000000">
              <w:rPr>
                <w:rtl w:val="0"/>
              </w:rPr>
            </w:r>
          </w:p>
        </w:tc>
        <w:tc>
          <w:tcPr>
            <w:tcBorders>
              <w:top w:color="b8cce4" w:space="0" w:sz="8" w:val="single"/>
              <w:bottom w:color="000000" w:space="0" w:sz="0" w:val="nil"/>
              <w:right w:color="000000" w:space="0" w:sz="4" w:val="single"/>
            </w:tcBorders>
          </w:tcPr>
          <w:p w:rsidR="00000000" w:rsidDel="00000000" w:rsidP="00000000" w:rsidRDefault="00000000" w:rsidRPr="00000000" w14:paraId="000000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Facilitator:</w:t>
            </w:r>
          </w:p>
          <w:p w:rsidR="00000000" w:rsidDel="00000000" w:rsidP="00000000" w:rsidRDefault="00000000" w:rsidRPr="00000000" w14:paraId="000000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Barrier:</w:t>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C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C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C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C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D0">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D1">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D2">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shd w:fill="d9e2f3" w:val="clear"/>
          </w:tcPr>
          <w:p w:rsidR="00000000" w:rsidDel="00000000" w:rsidP="00000000" w:rsidRDefault="00000000" w:rsidRPr="00000000" w14:paraId="000000D3">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shd w:fill="d9e2f3" w:val="clear"/>
          </w:tcPr>
          <w:p w:rsidR="00000000" w:rsidDel="00000000" w:rsidP="00000000" w:rsidRDefault="00000000" w:rsidRPr="00000000" w14:paraId="000000D4">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0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Yellow Fever (YF)</w:t>
            </w:r>
          </w:p>
        </w:tc>
        <w:tc>
          <w:tcPr>
            <w:tcBorders>
              <w:top w:color="000000" w:space="0" w:sz="0" w:val="nil"/>
              <w:left w:color="000000" w:space="0" w:sz="12" w:val="single"/>
              <w:bottom w:color="000000" w:space="0" w:sz="0" w:val="nil"/>
              <w:right w:color="000000" w:space="0" w:sz="0" w:val="nil"/>
            </w:tcBorders>
            <w:shd w:fill="808080" w:val="clear"/>
          </w:tcPr>
          <w:p w:rsidR="00000000" w:rsidDel="00000000" w:rsidP="00000000" w:rsidRDefault="00000000" w:rsidRPr="00000000" w14:paraId="000000D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D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D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D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DA">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0" w:val="nil"/>
              <w:bottom w:color="000000" w:space="0" w:sz="0" w:val="nil"/>
              <w:right w:color="b8cce4" w:space="0" w:sz="8" w:val="single"/>
            </w:tcBorders>
          </w:tcPr>
          <w:p w:rsidR="00000000" w:rsidDel="00000000" w:rsidP="00000000" w:rsidRDefault="00000000" w:rsidRPr="00000000" w14:paraId="000000D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D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D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D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D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E0">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E1">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tcPr>
          <w:p w:rsidR="00000000" w:rsidDel="00000000" w:rsidP="00000000" w:rsidRDefault="00000000" w:rsidRPr="00000000" w14:paraId="000000E2">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tcPr>
          <w:p w:rsidR="00000000" w:rsidDel="00000000" w:rsidP="00000000" w:rsidRDefault="00000000" w:rsidRPr="00000000" w14:paraId="000000E3">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0E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Insecticide-Treated Nets (ITNs)</w:t>
            </w:r>
          </w:p>
        </w:tc>
        <w:tc>
          <w:tcPr>
            <w:tcBorders>
              <w:top w:color="000000" w:space="0" w:sz="0" w:val="nil"/>
              <w:left w:color="000000" w:space="0" w:sz="12" w:val="single"/>
              <w:bottom w:color="000000" w:space="0" w:sz="0" w:val="nil"/>
            </w:tcBorders>
            <w:shd w:fill="808080" w:val="clear"/>
          </w:tcPr>
          <w:p w:rsidR="00000000" w:rsidDel="00000000" w:rsidP="00000000" w:rsidRDefault="00000000" w:rsidRPr="00000000" w14:paraId="000000E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E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E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E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E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0EA">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bottom w:color="000000" w:space="0" w:sz="0" w:val="nil"/>
              <w:right w:color="000000" w:space="0" w:sz="4" w:val="single"/>
            </w:tcBorders>
          </w:tcPr>
          <w:p w:rsidR="00000000" w:rsidDel="00000000" w:rsidP="00000000" w:rsidRDefault="00000000" w:rsidRPr="00000000" w14:paraId="000000E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8" w:val="single"/>
            </w:tcBorders>
          </w:tcPr>
          <w:p w:rsidR="00000000" w:rsidDel="00000000" w:rsidP="00000000" w:rsidRDefault="00000000" w:rsidRPr="00000000" w14:paraId="000000E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E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E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E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F0">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tcPr>
          <w:p w:rsidR="00000000" w:rsidDel="00000000" w:rsidP="00000000" w:rsidRDefault="00000000" w:rsidRPr="00000000" w14:paraId="000000F1">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tcPr>
          <w:p w:rsidR="00000000" w:rsidDel="00000000" w:rsidP="00000000" w:rsidRDefault="00000000" w:rsidRPr="00000000" w14:paraId="000000F2">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0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Seasonal Malaria Chemoprevention (SMC)</w:t>
            </w:r>
          </w:p>
        </w:tc>
        <w:tc>
          <w:tcPr>
            <w:tcBorders>
              <w:top w:color="000000" w:space="0" w:sz="0" w:val="nil"/>
              <w:left w:color="000000" w:space="0" w:sz="12" w:val="single"/>
              <w:bottom w:color="000000" w:space="0" w:sz="0" w:val="nil"/>
              <w:right w:color="000000" w:space="0" w:sz="0" w:val="nil"/>
            </w:tcBorders>
            <w:shd w:fill="808080" w:val="clear"/>
          </w:tcPr>
          <w:p w:rsidR="00000000" w:rsidDel="00000000" w:rsidP="00000000" w:rsidRDefault="00000000" w:rsidRPr="00000000" w14:paraId="000000F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F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F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F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F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F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0FA">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0" w:val="nil"/>
              <w:bottom w:color="000000" w:space="0" w:sz="0" w:val="nil"/>
              <w:right w:color="b8cce4" w:space="0" w:sz="8" w:val="single"/>
            </w:tcBorders>
          </w:tcPr>
          <w:p w:rsidR="00000000" w:rsidDel="00000000" w:rsidP="00000000" w:rsidRDefault="00000000" w:rsidRPr="00000000" w14:paraId="000000F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F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0F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F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0F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tcPr>
          <w:p w:rsidR="00000000" w:rsidDel="00000000" w:rsidP="00000000" w:rsidRDefault="00000000" w:rsidRPr="00000000" w14:paraId="00000100">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tcPr>
          <w:p w:rsidR="00000000" w:rsidDel="00000000" w:rsidP="00000000" w:rsidRDefault="00000000" w:rsidRPr="00000000" w14:paraId="00000101">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right w:color="000000" w:space="0" w:sz="12" w:val="single"/>
            </w:tcBorders>
            <w:vAlign w:val="center"/>
          </w:tcPr>
          <w:p w:rsidR="00000000" w:rsidDel="00000000" w:rsidP="00000000" w:rsidRDefault="00000000" w:rsidRPr="00000000" w14:paraId="0000010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Lymphatic Filariasis (LF)</w:t>
            </w:r>
          </w:p>
        </w:tc>
        <w:tc>
          <w:tcPr>
            <w:tcBorders>
              <w:top w:color="000000" w:space="0" w:sz="0" w:val="nil"/>
              <w:left w:color="000000" w:space="0" w:sz="12" w:val="single"/>
              <w:bottom w:color="000000" w:space="0" w:sz="0" w:val="nil"/>
            </w:tcBorders>
            <w:shd w:fill="808080" w:val="clear"/>
          </w:tcPr>
          <w:p w:rsidR="00000000" w:rsidDel="00000000" w:rsidP="00000000" w:rsidRDefault="00000000" w:rsidRPr="00000000" w14:paraId="0000010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0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0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0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0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0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0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0A">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bottom w:color="000000" w:space="0" w:sz="0" w:val="nil"/>
              <w:right w:color="b8cce4" w:space="0" w:sz="8" w:val="single"/>
            </w:tcBorders>
          </w:tcPr>
          <w:p w:rsidR="00000000" w:rsidDel="00000000" w:rsidP="00000000" w:rsidRDefault="00000000" w:rsidRPr="00000000" w14:paraId="0000010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b8cce4" w:space="0" w:sz="8" w:val="single"/>
            </w:tcBorders>
          </w:tcPr>
          <w:p w:rsidR="00000000" w:rsidDel="00000000" w:rsidP="00000000" w:rsidRDefault="00000000" w:rsidRPr="00000000" w14:paraId="0000010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10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8" w:val="single"/>
              <w:right w:color="000000" w:space="0" w:sz="4" w:val="single"/>
            </w:tcBorders>
          </w:tcPr>
          <w:p w:rsidR="00000000" w:rsidDel="00000000" w:rsidP="00000000" w:rsidRDefault="00000000" w:rsidRPr="00000000" w14:paraId="0000010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8" w:val="single"/>
              <w:right w:color="b8cce4" w:space="0" w:sz="6" w:val="single"/>
            </w:tcBorders>
          </w:tcPr>
          <w:p w:rsidR="00000000" w:rsidDel="00000000" w:rsidP="00000000" w:rsidRDefault="00000000" w:rsidRPr="00000000" w14:paraId="0000010F">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8" w:val="single"/>
              <w:right w:color="000000" w:space="0" w:sz="12" w:val="single"/>
            </w:tcBorders>
          </w:tcPr>
          <w:p w:rsidR="00000000" w:rsidDel="00000000" w:rsidP="00000000" w:rsidRDefault="00000000" w:rsidRPr="00000000" w14:paraId="00000110">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left w:color="000000" w:space="0" w:sz="12" w:val="single"/>
              <w:bottom w:color="b8cce4" w:space="0" w:sz="6" w:val="single"/>
              <w:right w:color="000000" w:space="0" w:sz="12" w:val="single"/>
            </w:tcBorders>
            <w:vAlign w:val="center"/>
          </w:tcPr>
          <w:p w:rsidR="00000000" w:rsidDel="00000000" w:rsidP="00000000" w:rsidRDefault="00000000" w:rsidRPr="00000000" w14:paraId="000001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Onchocerciasis (Oncho)</w:t>
            </w:r>
          </w:p>
        </w:tc>
        <w:tc>
          <w:tcPr>
            <w:tcBorders>
              <w:top w:color="000000" w:space="0" w:sz="0" w:val="nil"/>
              <w:left w:color="000000" w:space="0" w:sz="12" w:val="single"/>
              <w:bottom w:color="000000" w:space="0" w:sz="0" w:val="nil"/>
              <w:right w:color="000000" w:space="0" w:sz="0" w:val="nil"/>
            </w:tcBorders>
            <w:shd w:fill="808080" w:val="clear"/>
          </w:tcPr>
          <w:p w:rsidR="00000000" w:rsidDel="00000000" w:rsidP="00000000" w:rsidRDefault="00000000" w:rsidRPr="00000000" w14:paraId="00000112">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1A">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0" w:val="nil"/>
              <w:bottom w:color="b8cce4" w:space="0" w:sz="6" w:val="single"/>
              <w:right w:color="b8cce4" w:space="0" w:sz="8" w:val="single"/>
            </w:tcBorders>
          </w:tcPr>
          <w:p w:rsidR="00000000" w:rsidDel="00000000" w:rsidP="00000000" w:rsidRDefault="00000000" w:rsidRPr="00000000" w14:paraId="0000011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6" w:val="single"/>
              <w:right w:color="000000" w:space="0" w:sz="4" w:val="single"/>
            </w:tcBorders>
          </w:tcPr>
          <w:p w:rsidR="00000000" w:rsidDel="00000000" w:rsidP="00000000" w:rsidRDefault="00000000" w:rsidRPr="00000000" w14:paraId="0000011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8" w:val="single"/>
              <w:bottom w:color="b8cce4" w:space="0" w:sz="6" w:val="single"/>
              <w:right w:color="000000" w:space="0" w:sz="4" w:val="single"/>
            </w:tcBorders>
          </w:tcPr>
          <w:p w:rsidR="00000000" w:rsidDel="00000000" w:rsidP="00000000" w:rsidRDefault="00000000" w:rsidRPr="00000000" w14:paraId="0000011D">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b8cce4" w:space="0" w:sz="6" w:val="single"/>
              <w:right w:color="b8cce4" w:space="0" w:sz="6" w:val="single"/>
            </w:tcBorders>
          </w:tcPr>
          <w:p w:rsidR="00000000" w:rsidDel="00000000" w:rsidP="00000000" w:rsidRDefault="00000000" w:rsidRPr="00000000" w14:paraId="0000011E">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b8cce4" w:space="0" w:sz="6" w:val="single"/>
              <w:right w:color="000000" w:space="0" w:sz="12" w:val="single"/>
            </w:tcBorders>
          </w:tcPr>
          <w:p w:rsidR="00000000" w:rsidDel="00000000" w:rsidP="00000000" w:rsidRDefault="00000000" w:rsidRPr="00000000" w14:paraId="0000011F">
            <w:pPr>
              <w:rPr>
                <w:rFonts w:ascii="Calibri" w:cs="Calibri" w:eastAsia="Calibri" w:hAnsi="Calibri"/>
                <w:b w:val="1"/>
                <w:color w:val="000000"/>
                <w:sz w:val="22"/>
                <w:szCs w:val="22"/>
              </w:rPr>
            </w:pPr>
            <w:r w:rsidDel="00000000" w:rsidR="00000000" w:rsidRPr="00000000">
              <w:rPr>
                <w:rtl w:val="0"/>
              </w:rPr>
            </w:r>
          </w:p>
        </w:tc>
      </w:tr>
      <w:tr>
        <w:trPr>
          <w:trHeight w:val="415" w:hRule="atLeast"/>
        </w:trPr>
        <w:tc>
          <w:tcPr>
            <w:tcBorders>
              <w:top w:color="b8cce4" w:space="0" w:sz="6" w:val="single"/>
              <w:left w:color="000000" w:space="0" w:sz="12" w:val="single"/>
              <w:right w:color="000000" w:space="0" w:sz="12" w:val="single"/>
            </w:tcBorders>
            <w:vAlign w:val="center"/>
          </w:tcPr>
          <w:p w:rsidR="00000000" w:rsidDel="00000000" w:rsidP="00000000" w:rsidRDefault="00000000" w:rsidRPr="00000000" w14:paraId="000001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Schistosomiasis (SS)</w:t>
            </w:r>
          </w:p>
        </w:tc>
        <w:tc>
          <w:tcPr>
            <w:tcBorders>
              <w:top w:color="000000" w:space="0" w:sz="0" w:val="nil"/>
              <w:left w:color="000000" w:space="0" w:sz="12" w:val="single"/>
              <w:bottom w:color="000000" w:space="0" w:sz="0" w:val="nil"/>
            </w:tcBorders>
            <w:shd w:fill="808080" w:val="clear"/>
          </w:tcPr>
          <w:p w:rsidR="00000000" w:rsidDel="00000000" w:rsidP="00000000" w:rsidRDefault="00000000" w:rsidRPr="00000000" w14:paraId="00000121">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2">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29">
            <w:pPr>
              <w:rPr>
                <w:rFonts w:ascii="Calibri" w:cs="Calibri" w:eastAsia="Calibri" w:hAnsi="Calibri"/>
                <w:b w:val="1"/>
                <w:color w:val="000000"/>
                <w:sz w:val="22"/>
                <w:szCs w:val="22"/>
              </w:rPr>
            </w:pPr>
            <w:r w:rsidDel="00000000" w:rsidR="00000000" w:rsidRPr="00000000">
              <w:rPr>
                <w:rtl w:val="0"/>
              </w:rPr>
            </w:r>
          </w:p>
        </w:tc>
        <w:tc>
          <w:tcPr>
            <w:tcBorders>
              <w:top w:color="b8cce4" w:space="0" w:sz="6" w:val="single"/>
              <w:bottom w:color="000000" w:space="0" w:sz="0" w:val="nil"/>
            </w:tcBorders>
            <w:shd w:fill="808080" w:val="clear"/>
          </w:tcPr>
          <w:p w:rsidR="00000000" w:rsidDel="00000000" w:rsidP="00000000" w:rsidRDefault="00000000" w:rsidRPr="00000000" w14:paraId="0000012A">
            <w:pPr>
              <w:rPr>
                <w:rFonts w:ascii="Calibri" w:cs="Calibri" w:eastAsia="Calibri" w:hAnsi="Calibri"/>
                <w:b w:val="1"/>
                <w:color w:val="000000"/>
                <w:sz w:val="22"/>
                <w:szCs w:val="22"/>
              </w:rPr>
            </w:pPr>
            <w:r w:rsidDel="00000000" w:rsidR="00000000" w:rsidRPr="00000000">
              <w:rPr>
                <w:rtl w:val="0"/>
              </w:rPr>
            </w:r>
          </w:p>
        </w:tc>
        <w:tc>
          <w:tcPr>
            <w:tcBorders>
              <w:top w:color="b8cce4" w:space="0" w:sz="6" w:val="single"/>
              <w:bottom w:color="000000" w:space="0" w:sz="0" w:val="nil"/>
              <w:right w:color="b8cce4" w:space="0" w:sz="4" w:val="single"/>
            </w:tcBorders>
          </w:tcPr>
          <w:p w:rsidR="00000000" w:rsidDel="00000000" w:rsidP="00000000" w:rsidRDefault="00000000" w:rsidRPr="00000000" w14:paraId="0000012B">
            <w:pPr>
              <w:rPr>
                <w:rFonts w:ascii="Calibri" w:cs="Calibri" w:eastAsia="Calibri" w:hAnsi="Calibri"/>
                <w:b w:val="1"/>
                <w:color w:val="000000"/>
                <w:sz w:val="22"/>
                <w:szCs w:val="22"/>
              </w:rPr>
            </w:pPr>
            <w:r w:rsidDel="00000000" w:rsidR="00000000" w:rsidRPr="00000000">
              <w:rPr>
                <w:rtl w:val="0"/>
              </w:rPr>
            </w:r>
          </w:p>
        </w:tc>
        <w:tc>
          <w:tcPr>
            <w:tcBorders>
              <w:top w:color="b8cce4" w:space="0" w:sz="6" w:val="single"/>
              <w:left w:color="b8cce4" w:space="0" w:sz="4" w:val="single"/>
              <w:bottom w:color="000000" w:space="0" w:sz="0" w:val="nil"/>
              <w:right w:color="000000" w:space="0" w:sz="4" w:val="single"/>
            </w:tcBorders>
          </w:tcPr>
          <w:p w:rsidR="00000000" w:rsidDel="00000000" w:rsidP="00000000" w:rsidRDefault="00000000" w:rsidRPr="00000000" w14:paraId="0000012C">
            <w:pPr>
              <w:rPr>
                <w:rFonts w:ascii="Calibri" w:cs="Calibri" w:eastAsia="Calibri" w:hAnsi="Calibri"/>
                <w:b w:val="1"/>
                <w:color w:val="000000"/>
                <w:sz w:val="22"/>
                <w:szCs w:val="22"/>
              </w:rPr>
            </w:pPr>
            <w:r w:rsidDel="00000000" w:rsidR="00000000" w:rsidRPr="00000000">
              <w:rPr>
                <w:rtl w:val="0"/>
              </w:rPr>
            </w:r>
          </w:p>
        </w:tc>
        <w:tc>
          <w:tcPr>
            <w:tcBorders>
              <w:top w:color="b8cce4" w:space="0" w:sz="6" w:val="single"/>
              <w:left w:color="000000" w:space="0" w:sz="4" w:val="single"/>
              <w:bottom w:color="b8cce4" w:space="0" w:sz="8" w:val="single"/>
              <w:right w:color="b8cce4" w:space="0" w:sz="6" w:val="single"/>
            </w:tcBorders>
          </w:tcPr>
          <w:p w:rsidR="00000000" w:rsidDel="00000000" w:rsidP="00000000" w:rsidRDefault="00000000" w:rsidRPr="00000000" w14:paraId="0000012D">
            <w:pPr>
              <w:rPr>
                <w:rFonts w:ascii="Calibri" w:cs="Calibri" w:eastAsia="Calibri" w:hAnsi="Calibri"/>
                <w:b w:val="1"/>
                <w:sz w:val="22"/>
                <w:szCs w:val="22"/>
              </w:rPr>
            </w:pPr>
            <w:r w:rsidDel="00000000" w:rsidR="00000000" w:rsidRPr="00000000">
              <w:rPr>
                <w:rtl w:val="0"/>
              </w:rPr>
            </w:r>
          </w:p>
        </w:tc>
        <w:tc>
          <w:tcPr>
            <w:tcBorders>
              <w:top w:color="b8cce4" w:space="0" w:sz="6" w:val="single"/>
              <w:left w:color="b8cce4" w:space="0" w:sz="6" w:val="single"/>
              <w:bottom w:color="b8cce4" w:space="0" w:sz="8" w:val="single"/>
              <w:right w:color="000000" w:space="0" w:sz="12" w:val="single"/>
            </w:tcBorders>
          </w:tcPr>
          <w:p w:rsidR="00000000" w:rsidDel="00000000" w:rsidP="00000000" w:rsidRDefault="00000000" w:rsidRPr="00000000" w14:paraId="0000012E">
            <w:pPr>
              <w:rPr>
                <w:rFonts w:ascii="Calibri" w:cs="Calibri" w:eastAsia="Calibri" w:hAnsi="Calibri"/>
                <w:b w:val="1"/>
                <w:sz w:val="22"/>
                <w:szCs w:val="22"/>
              </w:rPr>
            </w:pPr>
            <w:r w:rsidDel="00000000" w:rsidR="00000000" w:rsidRPr="00000000">
              <w:rPr>
                <w:rtl w:val="0"/>
              </w:rPr>
            </w:r>
          </w:p>
        </w:tc>
      </w:tr>
      <w:tr>
        <w:trPr>
          <w:trHeight w:val="446" w:hRule="atLeast"/>
        </w:trPr>
        <w:tc>
          <w:tcPr>
            <w:tcBorders>
              <w:left w:color="000000" w:space="0" w:sz="12" w:val="single"/>
              <w:right w:color="000000" w:space="0" w:sz="12" w:val="single"/>
            </w:tcBorders>
            <w:vAlign w:val="center"/>
          </w:tcPr>
          <w:p w:rsidR="00000000" w:rsidDel="00000000" w:rsidP="00000000" w:rsidRDefault="00000000" w:rsidRPr="00000000" w14:paraId="000001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Soil-Transmitted Helminths (STH)</w:t>
            </w:r>
          </w:p>
        </w:tc>
        <w:tc>
          <w:tcPr>
            <w:tcBorders>
              <w:top w:color="000000" w:space="0" w:sz="0" w:val="nil"/>
              <w:left w:color="000000" w:space="0" w:sz="12" w:val="single"/>
              <w:bottom w:color="000000" w:space="0" w:sz="0" w:val="nil"/>
              <w:right w:color="000000" w:space="0" w:sz="0" w:val="nil"/>
            </w:tcBorders>
            <w:shd w:fill="808080" w:val="clear"/>
          </w:tcPr>
          <w:p w:rsidR="00000000" w:rsidDel="00000000" w:rsidP="00000000" w:rsidRDefault="00000000" w:rsidRPr="00000000" w14:paraId="00000130">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1">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2">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3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808080" w:space="0" w:sz="4" w:val="single"/>
              <w:right w:color="000000" w:space="0" w:sz="0" w:val="nil"/>
            </w:tcBorders>
            <w:shd w:fill="808080" w:val="clear"/>
          </w:tcPr>
          <w:p w:rsidR="00000000" w:rsidDel="00000000" w:rsidP="00000000" w:rsidRDefault="00000000" w:rsidRPr="00000000" w14:paraId="0000013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808080" w:space="0" w:sz="4" w:val="single"/>
              <w:right w:color="000000" w:space="0" w:sz="0" w:val="nil"/>
            </w:tcBorders>
            <w:shd w:fill="808080" w:val="clear"/>
          </w:tcPr>
          <w:p w:rsidR="00000000" w:rsidDel="00000000" w:rsidP="00000000" w:rsidRDefault="00000000" w:rsidRPr="00000000" w14:paraId="0000013A">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808080" w:space="0" w:sz="4" w:val="single"/>
              <w:right w:color="000000" w:space="0" w:sz="4" w:val="single"/>
            </w:tcBorders>
            <w:shd w:fill="ffffff" w:val="clear"/>
          </w:tcPr>
          <w:p w:rsidR="00000000" w:rsidDel="00000000" w:rsidP="00000000" w:rsidRDefault="00000000" w:rsidRPr="00000000" w14:paraId="0000013B">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000000" w:space="0" w:sz="4" w:val="single"/>
              <w:bottom w:color="000000" w:space="0" w:sz="0" w:val="nil"/>
              <w:right w:color="b8cce4" w:space="0" w:sz="6" w:val="single"/>
            </w:tcBorders>
          </w:tcPr>
          <w:p w:rsidR="00000000" w:rsidDel="00000000" w:rsidP="00000000" w:rsidRDefault="00000000" w:rsidRPr="00000000" w14:paraId="0000013C">
            <w:pPr>
              <w:rPr>
                <w:rFonts w:ascii="Calibri" w:cs="Calibri" w:eastAsia="Calibri" w:hAnsi="Calibri"/>
                <w:b w:val="1"/>
                <w:color w:val="000000"/>
                <w:sz w:val="22"/>
                <w:szCs w:val="22"/>
              </w:rPr>
            </w:pPr>
            <w:r w:rsidDel="00000000" w:rsidR="00000000" w:rsidRPr="00000000">
              <w:rPr>
                <w:rtl w:val="0"/>
              </w:rPr>
            </w:r>
          </w:p>
        </w:tc>
        <w:tc>
          <w:tcPr>
            <w:tcBorders>
              <w:top w:color="b8cce4" w:space="0" w:sz="8" w:val="single"/>
              <w:left w:color="b8cce4" w:space="0" w:sz="6" w:val="single"/>
              <w:bottom w:color="000000" w:space="0" w:sz="0" w:val="nil"/>
              <w:right w:color="000000" w:space="0" w:sz="12" w:val="single"/>
            </w:tcBorders>
          </w:tcPr>
          <w:p w:rsidR="00000000" w:rsidDel="00000000" w:rsidP="00000000" w:rsidRDefault="00000000" w:rsidRPr="00000000" w14:paraId="0000013D">
            <w:pPr>
              <w:rPr>
                <w:rFonts w:ascii="Calibri" w:cs="Calibri" w:eastAsia="Calibri" w:hAnsi="Calibri"/>
                <w:b w:val="1"/>
                <w:color w:val="000000"/>
                <w:sz w:val="22"/>
                <w:szCs w:val="22"/>
              </w:rPr>
            </w:pPr>
            <w:r w:rsidDel="00000000" w:rsidR="00000000" w:rsidRPr="00000000">
              <w:rPr>
                <w:rtl w:val="0"/>
              </w:rPr>
            </w:r>
          </w:p>
        </w:tc>
      </w:tr>
      <w:tr>
        <w:trPr>
          <w:trHeight w:val="424" w:hRule="atLeast"/>
        </w:trPr>
        <w:tc>
          <w:tcPr>
            <w:tcBorders>
              <w:left w:color="000000" w:space="0" w:sz="12" w:val="single"/>
              <w:bottom w:color="b8cce4" w:space="0" w:sz="6" w:val="single"/>
              <w:right w:color="000000" w:space="0" w:sz="12" w:val="single"/>
            </w:tcBorders>
            <w:vAlign w:val="center"/>
          </w:tcPr>
          <w:p w:rsidR="00000000" w:rsidDel="00000000" w:rsidP="00000000" w:rsidRDefault="00000000" w:rsidRPr="00000000" w14:paraId="0000013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Trachoma (Trach)</w:t>
            </w:r>
          </w:p>
        </w:tc>
        <w:tc>
          <w:tcPr>
            <w:tcBorders>
              <w:top w:color="000000" w:space="0" w:sz="0" w:val="nil"/>
              <w:left w:color="000000" w:space="0" w:sz="12" w:val="single"/>
              <w:bottom w:color="000000" w:space="0" w:sz="0" w:val="nil"/>
            </w:tcBorders>
            <w:shd w:fill="808080" w:val="clear"/>
          </w:tcPr>
          <w:p w:rsidR="00000000" w:rsidDel="00000000" w:rsidP="00000000" w:rsidRDefault="00000000" w:rsidRPr="00000000" w14:paraId="0000013F">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0">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1">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2">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47">
            <w:pPr>
              <w:rPr>
                <w:rFonts w:ascii="Calibri" w:cs="Calibri" w:eastAsia="Calibri" w:hAnsi="Calibri"/>
                <w:b w:val="1"/>
                <w:color w:val="000000"/>
                <w:sz w:val="22"/>
                <w:szCs w:val="22"/>
              </w:rPr>
            </w:pPr>
            <w:r w:rsidDel="00000000" w:rsidR="00000000" w:rsidRPr="00000000">
              <w:rPr>
                <w:rtl w:val="0"/>
              </w:rPr>
            </w:r>
          </w:p>
        </w:tc>
        <w:tc>
          <w:tcPr>
            <w:tcBorders>
              <w:top w:color="808080" w:space="0" w:sz="4" w:val="single"/>
              <w:bottom w:color="000000" w:space="0" w:sz="0" w:val="nil"/>
            </w:tcBorders>
            <w:shd w:fill="808080" w:val="clear"/>
          </w:tcPr>
          <w:p w:rsidR="00000000" w:rsidDel="00000000" w:rsidP="00000000" w:rsidRDefault="00000000" w:rsidRPr="00000000" w14:paraId="00000148">
            <w:pPr>
              <w:rPr>
                <w:rFonts w:ascii="Calibri" w:cs="Calibri" w:eastAsia="Calibri" w:hAnsi="Calibri"/>
                <w:b w:val="1"/>
                <w:color w:val="000000"/>
                <w:sz w:val="22"/>
                <w:szCs w:val="22"/>
              </w:rPr>
            </w:pPr>
            <w:r w:rsidDel="00000000" w:rsidR="00000000" w:rsidRPr="00000000">
              <w:rPr>
                <w:rtl w:val="0"/>
              </w:rPr>
            </w:r>
          </w:p>
        </w:tc>
        <w:tc>
          <w:tcPr>
            <w:tcBorders>
              <w:top w:color="808080" w:space="0" w:sz="4" w:val="single"/>
              <w:bottom w:color="000000" w:space="0" w:sz="0" w:val="nil"/>
            </w:tcBorders>
            <w:shd w:fill="808080" w:val="clear"/>
          </w:tcPr>
          <w:p w:rsidR="00000000" w:rsidDel="00000000" w:rsidP="00000000" w:rsidRDefault="00000000" w:rsidRPr="00000000" w14:paraId="00000149">
            <w:pPr>
              <w:rPr>
                <w:rFonts w:ascii="Calibri" w:cs="Calibri" w:eastAsia="Calibri" w:hAnsi="Calibri"/>
                <w:b w:val="1"/>
                <w:color w:val="000000"/>
                <w:sz w:val="22"/>
                <w:szCs w:val="22"/>
              </w:rPr>
            </w:pPr>
            <w:r w:rsidDel="00000000" w:rsidR="00000000" w:rsidRPr="00000000">
              <w:rPr>
                <w:rtl w:val="0"/>
              </w:rPr>
            </w:r>
          </w:p>
        </w:tc>
        <w:tc>
          <w:tcPr>
            <w:tcBorders>
              <w:top w:color="808080" w:space="0" w:sz="4" w:val="single"/>
              <w:bottom w:color="000000" w:space="0" w:sz="0" w:val="nil"/>
            </w:tcBorders>
            <w:shd w:fill="808080" w:val="clear"/>
          </w:tcPr>
          <w:p w:rsidR="00000000" w:rsidDel="00000000" w:rsidP="00000000" w:rsidRDefault="00000000" w:rsidRPr="00000000" w14:paraId="0000014A">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right w:color="b8cce4" w:space="0" w:sz="6" w:val="single"/>
            </w:tcBorders>
          </w:tcPr>
          <w:p w:rsidR="00000000" w:rsidDel="00000000" w:rsidP="00000000" w:rsidRDefault="00000000" w:rsidRPr="00000000" w14:paraId="0000014B">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b8cce4" w:space="0" w:sz="6" w:val="single"/>
              <w:bottom w:color="000000" w:space="0" w:sz="0" w:val="nil"/>
              <w:right w:color="000000" w:space="0" w:sz="12" w:val="single"/>
            </w:tcBorders>
          </w:tcPr>
          <w:p w:rsidR="00000000" w:rsidDel="00000000" w:rsidP="00000000" w:rsidRDefault="00000000" w:rsidRPr="00000000" w14:paraId="0000014C">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top w:color="b8cce4" w:space="0" w:sz="6" w:val="single"/>
              <w:left w:color="000000" w:space="0" w:sz="12" w:val="single"/>
              <w:bottom w:color="b8cce4" w:space="0" w:sz="6" w:val="single"/>
              <w:right w:color="000000" w:space="0" w:sz="12" w:val="single"/>
            </w:tcBorders>
            <w:vAlign w:val="center"/>
          </w:tcPr>
          <w:p w:rsidR="00000000" w:rsidDel="00000000" w:rsidP="00000000" w:rsidRDefault="00000000" w:rsidRPr="00000000" w14:paraId="000001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Vitamin A (VitA)</w:t>
            </w:r>
          </w:p>
        </w:tc>
        <w:tc>
          <w:tcPr>
            <w:tcBorders>
              <w:top w:color="000000" w:space="0" w:sz="0" w:val="nil"/>
              <w:left w:color="000000" w:space="0" w:sz="12" w:val="single"/>
              <w:bottom w:color="000000" w:space="0" w:sz="0" w:val="nil"/>
              <w:right w:color="000000" w:space="0" w:sz="0" w:val="nil"/>
            </w:tcBorders>
            <w:shd w:fill="808080" w:val="clear"/>
          </w:tcPr>
          <w:p w:rsidR="00000000" w:rsidDel="00000000" w:rsidP="00000000" w:rsidRDefault="00000000" w:rsidRPr="00000000" w14:paraId="0000014E">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4F">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0">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1">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2">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08080" w:val="clear"/>
          </w:tcPr>
          <w:p w:rsidR="00000000" w:rsidDel="00000000" w:rsidP="00000000" w:rsidRDefault="00000000" w:rsidRPr="00000000" w14:paraId="0000015A">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15B">
            <w:pPr>
              <w:rPr>
                <w:rFonts w:ascii="Calibri" w:cs="Calibri" w:eastAsia="Calibri" w:hAnsi="Calibri"/>
                <w:b w:val="1"/>
                <w:color w:val="000000"/>
                <w:sz w:val="22"/>
                <w:szCs w:val="22"/>
              </w:rPr>
            </w:pPr>
            <w:r w:rsidDel="00000000" w:rsidR="00000000" w:rsidRPr="00000000">
              <w:rPr>
                <w:rtl w:val="0"/>
              </w:rPr>
            </w:r>
          </w:p>
        </w:tc>
      </w:tr>
      <w:tr>
        <w:trPr>
          <w:trHeight w:val="519" w:hRule="atLeast"/>
        </w:trPr>
        <w:tc>
          <w:tcPr>
            <w:tcBorders>
              <w:top w:color="b8cce4" w:space="0" w:sz="6"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Assessment of Severe Malnutrition (Maln)</w:t>
            </w:r>
          </w:p>
        </w:tc>
        <w:tc>
          <w:tcPr>
            <w:tcBorders>
              <w:top w:color="000000" w:space="0" w:sz="0" w:val="nil"/>
              <w:left w:color="000000" w:space="0" w:sz="12" w:val="single"/>
              <w:bottom w:color="000000" w:space="0" w:sz="0" w:val="nil"/>
            </w:tcBorders>
            <w:shd w:fill="808080" w:val="clear"/>
          </w:tcPr>
          <w:p w:rsidR="00000000" w:rsidDel="00000000" w:rsidP="00000000" w:rsidRDefault="00000000" w:rsidRPr="00000000" w14:paraId="0000015D">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5E">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5F">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0">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1">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2">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3">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4">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5">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6">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7">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8">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169">
            <w:pPr>
              <w:rPr>
                <w:rFonts w:ascii="Calibri" w:cs="Calibri" w:eastAsia="Calibri" w:hAnsi="Calibri"/>
                <w:b w:val="1"/>
                <w:color w:val="000000"/>
                <w:sz w:val="22"/>
                <w:szCs w:val="22"/>
              </w:rPr>
            </w:pPr>
            <w:r w:rsidDel="00000000" w:rsidR="00000000" w:rsidRPr="00000000">
              <w:rPr>
                <w:rtl w:val="0"/>
              </w:rPr>
            </w:r>
          </w:p>
        </w:tc>
        <w:tc>
          <w:tcPr>
            <w:tcBorders>
              <w:top w:color="000000" w:space="0" w:sz="0" w:val="nil"/>
              <w:bottom w:color="000000" w:space="0" w:sz="0" w:val="nil"/>
              <w:right w:color="000000" w:space="0" w:sz="12" w:val="single"/>
            </w:tcBorders>
            <w:shd w:fill="808080" w:val="clear"/>
          </w:tcPr>
          <w:p w:rsidR="00000000" w:rsidDel="00000000" w:rsidP="00000000" w:rsidRDefault="00000000" w:rsidRPr="00000000" w14:paraId="0000016A">
            <w:pPr>
              <w:rPr>
                <w:rFonts w:ascii="Calibri" w:cs="Calibri" w:eastAsia="Calibri" w:hAnsi="Calibri"/>
                <w:b w:val="1"/>
                <w:color w:val="000000"/>
                <w:sz w:val="22"/>
                <w:szCs w:val="22"/>
              </w:rPr>
            </w:pPr>
            <w:r w:rsidDel="00000000" w:rsidR="00000000" w:rsidRPr="00000000">
              <w:rPr>
                <w:rtl w:val="0"/>
              </w:rPr>
            </w:r>
          </w:p>
        </w:tc>
      </w:tr>
    </w:tbl>
    <w:p w:rsidR="00000000" w:rsidDel="00000000" w:rsidP="00000000" w:rsidRDefault="00000000" w:rsidRPr="00000000" w14:paraId="0000016B">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0" w:before="0" w:line="240" w:lineRule="auto"/>
        <w:ind w:left="864" w:right="864" w:firstLine="0"/>
        <w:jc w:val="center"/>
        <w:rPr>
          <w:rFonts w:ascii="Times New Roman" w:cs="Times New Roman" w:eastAsia="Times New Roman" w:hAnsi="Times New Roman"/>
          <w:b w:val="1"/>
          <w:i w:val="0"/>
          <w:smallCaps w:val="0"/>
          <w:strike w:val="0"/>
          <w:color w:val="4472c4"/>
          <w:sz w:val="22"/>
          <w:szCs w:val="22"/>
          <w:u w:val="none"/>
          <w:shd w:fill="auto" w:val="clear"/>
          <w:vertAlign w:val="baseline"/>
        </w:rPr>
      </w:pPr>
      <w:bookmarkStart w:colFirst="0" w:colLast="0" w:name="_heading=h.4d34og8" w:id="10"/>
      <w:bookmarkEnd w:id="10"/>
      <w:r w:rsidDel="00000000" w:rsidR="00000000" w:rsidRPr="00000000">
        <w:rPr>
          <w:rFonts w:ascii="Calibri" w:cs="Calibri" w:eastAsia="Calibri" w:hAnsi="Calibri"/>
          <w:b w:val="1"/>
          <w:i w:val="0"/>
          <w:smallCaps w:val="0"/>
          <w:strike w:val="0"/>
          <w:color w:val="4472c4"/>
          <w:sz w:val="32"/>
          <w:szCs w:val="32"/>
          <w:u w:val="none"/>
          <w:shd w:fill="auto" w:val="clear"/>
          <w:vertAlign w:val="baseline"/>
          <w:rtl w:val="0"/>
        </w:rPr>
        <w:t xml:space="preserve">Step 2b:</w:t>
      </w: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 Explore the Possibilities and Identify Pairings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purpose of the tool is to suggest key criteria that decision-makers from the global to local levels should consider for pairing campaign interventions.  Each criterion could be a facilitator or barrier, depending on the health intervention and country context.   </w:t>
      </w:r>
      <w:r w:rsidDel="00000000" w:rsidR="00000000" w:rsidRPr="00000000">
        <w:rPr>
          <w:rtl w:val="0"/>
        </w:rPr>
      </w:r>
    </w:p>
    <w:p w:rsidR="00000000" w:rsidDel="00000000" w:rsidP="00000000" w:rsidRDefault="00000000" w:rsidRPr="00000000" w14:paraId="0000016C">
      <w:pPr>
        <w:pStyle w:val="Heading1"/>
        <w:jc w:val="center"/>
        <w:rPr>
          <w:rFonts w:ascii="Calibri" w:cs="Calibri" w:eastAsia="Calibri" w:hAnsi="Calibri"/>
          <w:b w:val="1"/>
          <w:color w:val="000000"/>
        </w:rPr>
      </w:pPr>
      <w:bookmarkStart w:colFirst="0" w:colLast="0" w:name="_heading=h.2s8eyo1" w:id="11"/>
      <w:bookmarkEnd w:id="11"/>
      <w:r w:rsidDel="00000000" w:rsidR="00000000" w:rsidRPr="00000000">
        <w:rPr>
          <w:rFonts w:ascii="Calibri" w:cs="Calibri" w:eastAsia="Calibri" w:hAnsi="Calibri"/>
          <w:b w:val="1"/>
          <w:color w:val="000000"/>
          <w:rtl w:val="0"/>
        </w:rPr>
        <w:t xml:space="preserve">Key Criteria for People-Centered Integration Decisions at Various Levels</w:t>
      </w:r>
    </w:p>
    <w:p w:rsidR="00000000" w:rsidDel="00000000" w:rsidP="00000000" w:rsidRDefault="00000000" w:rsidRPr="00000000" w14:paraId="0000016D">
      <w:pPr>
        <w:rPr>
          <w:i w:val="1"/>
        </w:rPr>
      </w:pPr>
      <w:r w:rsidDel="00000000" w:rsidR="00000000" w:rsidRPr="00000000">
        <w:rPr>
          <w:i w:val="1"/>
          <w:rtl w:val="0"/>
        </w:rPr>
        <w:t xml:space="preserve">(Note: Please see page 26 for definitions of selected criteria)</w:t>
      </w:r>
    </w:p>
    <w:tbl>
      <w:tblPr>
        <w:tblStyle w:val="Table4"/>
        <w:tblW w:w="18175.0" w:type="dxa"/>
        <w:jc w:val="left"/>
        <w:tblInd w:w="0.0" w:type="pct"/>
        <w:tblBorders>
          <w:top w:color="000000" w:space="0" w:sz="8" w:val="single"/>
          <w:left w:color="000000" w:space="0" w:sz="8" w:val="single"/>
          <w:bottom w:color="000000" w:space="0" w:sz="8" w:val="single"/>
          <w:right w:color="000000" w:space="0" w:sz="8" w:val="single"/>
          <w:insideH w:color="bfbfbf" w:space="0" w:sz="4" w:val="single"/>
          <w:insideV w:color="000000" w:space="0" w:sz="8" w:val="single"/>
        </w:tblBorders>
        <w:tblLayout w:type="fixed"/>
        <w:tblLook w:val="0400"/>
      </w:tblPr>
      <w:tblGrid>
        <w:gridCol w:w="4315"/>
        <w:gridCol w:w="4757"/>
        <w:gridCol w:w="5422"/>
        <w:gridCol w:w="3681"/>
        <w:tblGridChange w:id="0">
          <w:tblGrid>
            <w:gridCol w:w="4315"/>
            <w:gridCol w:w="4757"/>
            <w:gridCol w:w="5422"/>
            <w:gridCol w:w="3681"/>
          </w:tblGrid>
        </w:tblGridChange>
      </w:tblGrid>
      <w:tr>
        <w:trPr>
          <w:trHeight w:val="346" w:hRule="atLeast"/>
        </w:trPr>
        <w:tc>
          <w:tcPr>
            <w:tcBorders>
              <w:top w:color="000000" w:space="0" w:sz="4" w:val="single"/>
              <w:left w:color="000000" w:space="0" w:sz="4" w:val="single"/>
              <w:bottom w:color="000000" w:space="0" w:sz="4" w:val="single"/>
            </w:tcBorders>
            <w:shd w:fill="e7e6e6" w:val="clear"/>
          </w:tcPr>
          <w:p w:rsidR="00000000" w:rsidDel="00000000" w:rsidP="00000000" w:rsidRDefault="00000000" w:rsidRPr="00000000" w14:paraId="0000016E">
            <w:pPr>
              <w:jc w:val="center"/>
              <w:rPr>
                <w:b w:val="1"/>
                <w:color w:val="000000"/>
                <w:u w:val="single"/>
              </w:rPr>
            </w:pPr>
            <w:r w:rsidDel="00000000" w:rsidR="00000000" w:rsidRPr="00000000">
              <w:rPr>
                <w:b w:val="1"/>
                <w:color w:val="000000"/>
                <w:u w:val="single"/>
                <w:rtl w:val="0"/>
              </w:rPr>
              <w:t xml:space="preserve">Intervention</w:t>
            </w:r>
          </w:p>
          <w:p w:rsidR="00000000" w:rsidDel="00000000" w:rsidP="00000000" w:rsidRDefault="00000000" w:rsidRPr="00000000" w14:paraId="0000016F">
            <w:pPr>
              <w:numPr>
                <w:ilvl w:val="0"/>
                <w:numId w:val="6"/>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Age Range</w:t>
            </w:r>
          </w:p>
          <w:p w:rsidR="00000000" w:rsidDel="00000000" w:rsidP="00000000" w:rsidRDefault="00000000" w:rsidRPr="00000000" w14:paraId="00000170">
            <w:pPr>
              <w:numPr>
                <w:ilvl w:val="0"/>
                <w:numId w:val="6"/>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Seasonality</w:t>
            </w:r>
          </w:p>
          <w:p w:rsidR="00000000" w:rsidDel="00000000" w:rsidP="00000000" w:rsidRDefault="00000000" w:rsidRPr="00000000" w14:paraId="00000171">
            <w:pPr>
              <w:numPr>
                <w:ilvl w:val="0"/>
                <w:numId w:val="6"/>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Intervention complexity (e.g. injectable cold chain, directly observed therapy)</w:t>
            </w:r>
          </w:p>
          <w:p w:rsidR="00000000" w:rsidDel="00000000" w:rsidP="00000000" w:rsidRDefault="00000000" w:rsidRPr="00000000" w14:paraId="00000172">
            <w:pPr>
              <w:numPr>
                <w:ilvl w:val="0"/>
                <w:numId w:val="6"/>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Place of delivery and distribution mode</w:t>
            </w:r>
          </w:p>
          <w:p w:rsidR="00000000" w:rsidDel="00000000" w:rsidP="00000000" w:rsidRDefault="00000000" w:rsidRPr="00000000" w14:paraId="00000173">
            <w:pPr>
              <w:numPr>
                <w:ilvl w:val="0"/>
                <w:numId w:val="6"/>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color w:val="000000"/>
                <w:rtl w:val="0"/>
              </w:rPr>
              <w:t xml:space="preserve">Duration/frequency (recurring, rotating, one time, catch up)</w:t>
            </w:r>
            <w:r w:rsidDel="00000000" w:rsidR="00000000" w:rsidRPr="00000000">
              <w:rPr>
                <w:rtl w:val="0"/>
              </w:rPr>
            </w:r>
          </w:p>
        </w:tc>
        <w:tc>
          <w:tcPr>
            <w:tcBorders>
              <w:top w:color="000000" w:space="0" w:sz="4" w:val="single"/>
              <w:bottom w:color="000000" w:space="0" w:sz="4" w:val="single"/>
            </w:tcBorders>
            <w:shd w:fill="d0deef" w:val="clear"/>
            <w:tcMar>
              <w:top w:w="0.0" w:type="dxa"/>
              <w:left w:w="144.0" w:type="dxa"/>
              <w:bottom w:w="0.0" w:type="dxa"/>
              <w:right w:w="144.0" w:type="dxa"/>
            </w:tcMar>
          </w:tcPr>
          <w:p w:rsidR="00000000" w:rsidDel="00000000" w:rsidP="00000000" w:rsidRDefault="00000000" w:rsidRPr="00000000" w14:paraId="00000174">
            <w:pPr>
              <w:jc w:val="center"/>
              <w:rPr>
                <w:b w:val="1"/>
                <w:color w:val="000000"/>
                <w:u w:val="single"/>
              </w:rPr>
            </w:pPr>
            <w:r w:rsidDel="00000000" w:rsidR="00000000" w:rsidRPr="00000000">
              <w:rPr>
                <w:b w:val="1"/>
                <w:color w:val="000000"/>
                <w:u w:val="single"/>
                <w:rtl w:val="0"/>
              </w:rPr>
              <w:t xml:space="preserve">Local/Subnational</w:t>
            </w:r>
          </w:p>
          <w:p w:rsidR="00000000" w:rsidDel="00000000" w:rsidP="00000000" w:rsidRDefault="00000000" w:rsidRPr="00000000" w14:paraId="00000175">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Community acceptance of all individual interventions &amp; of integration</w:t>
            </w:r>
          </w:p>
          <w:p w:rsidR="00000000" w:rsidDel="00000000" w:rsidP="00000000" w:rsidRDefault="00000000" w:rsidRPr="00000000" w14:paraId="00000176">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Health worker acceptance of all individual interventions &amp; of integration</w:t>
            </w:r>
          </w:p>
          <w:p w:rsidR="00000000" w:rsidDel="00000000" w:rsidP="00000000" w:rsidRDefault="00000000" w:rsidRPr="00000000" w14:paraId="00000177">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Community capacity to ensure effective integration (e.g., training)</w:t>
            </w:r>
          </w:p>
          <w:p w:rsidR="00000000" w:rsidDel="00000000" w:rsidP="00000000" w:rsidRDefault="00000000" w:rsidRPr="00000000" w14:paraId="00000178">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Incentives for integration (e.g. monetary or non-monetary)</w:t>
            </w:r>
          </w:p>
          <w:p w:rsidR="00000000" w:rsidDel="00000000" w:rsidP="00000000" w:rsidRDefault="00000000" w:rsidRPr="00000000" w14:paraId="00000179">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Communication in place (e.g. to address rumors, hesitancy)</w:t>
            </w:r>
          </w:p>
          <w:p w:rsidR="00000000" w:rsidDel="00000000" w:rsidP="00000000" w:rsidRDefault="00000000" w:rsidRPr="00000000" w14:paraId="0000017A">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Equity (e.g. access, gender, human rights)</w:t>
            </w:r>
          </w:p>
          <w:p w:rsidR="00000000" w:rsidDel="00000000" w:rsidP="00000000" w:rsidRDefault="00000000" w:rsidRPr="00000000" w14:paraId="0000017B">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Values (active community participation throughout planning/implementation)</w:t>
            </w:r>
          </w:p>
          <w:p w:rsidR="00000000" w:rsidDel="00000000" w:rsidP="00000000" w:rsidRDefault="00000000" w:rsidRPr="00000000" w14:paraId="0000017C">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Preferences of caregivers/families/beneficiaries</w:t>
            </w:r>
          </w:p>
          <w:p w:rsidR="00000000" w:rsidDel="00000000" w:rsidP="00000000" w:rsidRDefault="00000000" w:rsidRPr="00000000" w14:paraId="0000017D">
            <w:pPr>
              <w:numPr>
                <w:ilvl w:val="0"/>
                <w:numId w:val="7"/>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Local epidemiology of targeted health intervention</w:t>
            </w:r>
          </w:p>
          <w:p w:rsidR="00000000" w:rsidDel="00000000" w:rsidP="00000000" w:rsidRDefault="00000000" w:rsidRPr="00000000" w14:paraId="0000017E">
            <w:pPr>
              <w:numPr>
                <w:ilvl w:val="0"/>
                <w:numId w:val="7"/>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color w:val="000000"/>
                <w:rtl w:val="0"/>
              </w:rPr>
              <w:t xml:space="preserve">Capacity to monitor post campaign adverse events if applicable</w:t>
            </w:r>
            <w:r w:rsidDel="00000000" w:rsidR="00000000" w:rsidRPr="00000000">
              <w:rPr>
                <w:rtl w:val="0"/>
              </w:rPr>
            </w:r>
          </w:p>
        </w:tc>
        <w:tc>
          <w:tcPr>
            <w:tcBorders>
              <w:top w:color="000000" w:space="0" w:sz="4" w:val="single"/>
              <w:bottom w:color="000000" w:space="0" w:sz="4" w:val="single"/>
            </w:tcBorders>
            <w:shd w:fill="d0deef" w:val="clear"/>
            <w:tcMar>
              <w:top w:w="0.0" w:type="dxa"/>
              <w:left w:w="144.0" w:type="dxa"/>
              <w:bottom w:w="0.0" w:type="dxa"/>
              <w:right w:w="144.0" w:type="dxa"/>
            </w:tcMar>
          </w:tcPr>
          <w:p w:rsidR="00000000" w:rsidDel="00000000" w:rsidP="00000000" w:rsidRDefault="00000000" w:rsidRPr="00000000" w14:paraId="0000017F">
            <w:pPr>
              <w:jc w:val="center"/>
              <w:rPr>
                <w:b w:val="1"/>
                <w:color w:val="000000"/>
                <w:u w:val="single"/>
              </w:rPr>
            </w:pPr>
            <w:r w:rsidDel="00000000" w:rsidR="00000000" w:rsidRPr="00000000">
              <w:rPr>
                <w:b w:val="1"/>
                <w:color w:val="000000"/>
                <w:u w:val="single"/>
                <w:rtl w:val="0"/>
              </w:rPr>
              <w:t xml:space="preserve">National</w:t>
            </w:r>
          </w:p>
          <w:p w:rsidR="00000000" w:rsidDel="00000000" w:rsidP="00000000" w:rsidRDefault="00000000" w:rsidRPr="00000000" w14:paraId="00000180">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Government commitment &amp; policy</w:t>
            </w:r>
          </w:p>
          <w:p w:rsidR="00000000" w:rsidDel="00000000" w:rsidP="00000000" w:rsidRDefault="00000000" w:rsidRPr="00000000" w14:paraId="00000181">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Coordination mechanisms, including public health workforce</w:t>
            </w:r>
          </w:p>
          <w:p w:rsidR="00000000" w:rsidDel="00000000" w:rsidP="00000000" w:rsidRDefault="00000000" w:rsidRPr="00000000" w14:paraId="00000182">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Incentives or willingness to explore integration</w:t>
            </w:r>
          </w:p>
          <w:p w:rsidR="00000000" w:rsidDel="00000000" w:rsidP="00000000" w:rsidRDefault="00000000" w:rsidRPr="00000000" w14:paraId="00000183">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Financing by government &amp; donors</w:t>
            </w:r>
          </w:p>
          <w:p w:rsidR="00000000" w:rsidDel="00000000" w:rsidP="00000000" w:rsidRDefault="00000000" w:rsidRPr="00000000" w14:paraId="00000184">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Options and feasibility for pooling partner resources to support integration</w:t>
            </w:r>
          </w:p>
          <w:p w:rsidR="00000000" w:rsidDel="00000000" w:rsidP="00000000" w:rsidRDefault="00000000" w:rsidRPr="00000000" w14:paraId="00000185">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Geographic overlap of campaign per program</w:t>
            </w:r>
          </w:p>
          <w:p w:rsidR="00000000" w:rsidDel="00000000" w:rsidP="00000000" w:rsidRDefault="00000000" w:rsidRPr="00000000" w14:paraId="00000186">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Population acceptance of individual interventions &amp; principles of integration</w:t>
            </w:r>
          </w:p>
          <w:p w:rsidR="00000000" w:rsidDel="00000000" w:rsidP="00000000" w:rsidRDefault="00000000" w:rsidRPr="00000000" w14:paraId="00000187">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Operational complexity (procurement, supply chain, logistics, communications, waste management)</w:t>
            </w:r>
          </w:p>
          <w:p w:rsidR="00000000" w:rsidDel="00000000" w:rsidP="00000000" w:rsidRDefault="00000000" w:rsidRPr="00000000" w14:paraId="00000188">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Equal priority given to each intervention being co-delivered</w:t>
            </w:r>
          </w:p>
          <w:p w:rsidR="00000000" w:rsidDel="00000000" w:rsidP="00000000" w:rsidRDefault="00000000" w:rsidRPr="00000000" w14:paraId="00000189">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Capacity for &amp; commitment to monitoring, data collection, evaluation, surveillance</w:t>
            </w:r>
          </w:p>
          <w:p w:rsidR="00000000" w:rsidDel="00000000" w:rsidP="00000000" w:rsidRDefault="00000000" w:rsidRPr="00000000" w14:paraId="0000018A">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Duration &amp; Frequency (recurring, rotating, one-time)</w:t>
            </w:r>
          </w:p>
          <w:p w:rsidR="00000000" w:rsidDel="00000000" w:rsidP="00000000" w:rsidRDefault="00000000" w:rsidRPr="00000000" w14:paraId="0000018B">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Partial integration (census data, social mobilization, education, messaging)</w:t>
            </w:r>
          </w:p>
          <w:p w:rsidR="00000000" w:rsidDel="00000000" w:rsidP="00000000" w:rsidRDefault="00000000" w:rsidRPr="00000000" w14:paraId="0000018C">
            <w:pPr>
              <w:numPr>
                <w:ilvl w:val="0"/>
                <w:numId w:val="1"/>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Planning or implementation of other health campaigns</w:t>
            </w:r>
          </w:p>
          <w:p w:rsidR="00000000" w:rsidDel="00000000" w:rsidP="00000000" w:rsidRDefault="00000000" w:rsidRPr="00000000" w14:paraId="0000018D">
            <w:pPr>
              <w:numPr>
                <w:ilvl w:val="0"/>
                <w:numId w:val="1"/>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color w:val="000000"/>
                <w:rtl w:val="0"/>
              </w:rPr>
              <w:t xml:space="preserve">Planning for monitoring post campaign adverse events if applicable</w:t>
            </w:r>
            <w:r w:rsidDel="00000000" w:rsidR="00000000" w:rsidRPr="00000000">
              <w:rPr>
                <w:rtl w:val="0"/>
              </w:rPr>
            </w:r>
          </w:p>
        </w:tc>
        <w:tc>
          <w:tcPr>
            <w:tcBorders>
              <w:top w:color="000000" w:space="0" w:sz="4" w:val="single"/>
              <w:bottom w:color="000000" w:space="0" w:sz="4" w:val="single"/>
              <w:right w:color="000000" w:space="0" w:sz="4" w:val="single"/>
            </w:tcBorders>
            <w:shd w:fill="d0deef" w:val="clear"/>
            <w:tcMar>
              <w:top w:w="0.0" w:type="dxa"/>
              <w:left w:w="144.0" w:type="dxa"/>
              <w:bottom w:w="0.0" w:type="dxa"/>
              <w:right w:w="144.0" w:type="dxa"/>
            </w:tcMar>
          </w:tcPr>
          <w:p w:rsidR="00000000" w:rsidDel="00000000" w:rsidP="00000000" w:rsidRDefault="00000000" w:rsidRPr="00000000" w14:paraId="0000018E">
            <w:pPr>
              <w:jc w:val="center"/>
              <w:rPr>
                <w:b w:val="1"/>
                <w:color w:val="000000"/>
                <w:u w:val="single"/>
              </w:rPr>
            </w:pPr>
            <w:r w:rsidDel="00000000" w:rsidR="00000000" w:rsidRPr="00000000">
              <w:rPr>
                <w:b w:val="1"/>
                <w:color w:val="000000"/>
                <w:u w:val="single"/>
                <w:rtl w:val="0"/>
              </w:rPr>
              <w:t xml:space="preserve">Global</w:t>
            </w:r>
          </w:p>
          <w:p w:rsidR="00000000" w:rsidDel="00000000" w:rsidP="00000000" w:rsidRDefault="00000000" w:rsidRPr="00000000" w14:paraId="0000018F">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Global partner dialogue facilitation (e.g., HCE Coalition, WHO)</w:t>
            </w:r>
          </w:p>
          <w:p w:rsidR="00000000" w:rsidDel="00000000" w:rsidP="00000000" w:rsidRDefault="00000000" w:rsidRPr="00000000" w14:paraId="00000190">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Global policy &amp; operational guidance</w:t>
            </w:r>
          </w:p>
          <w:p w:rsidR="00000000" w:rsidDel="00000000" w:rsidP="00000000" w:rsidRDefault="00000000" w:rsidRPr="00000000" w14:paraId="00000191">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Equal priority given to each intervention being co-delivered</w:t>
            </w:r>
          </w:p>
          <w:p w:rsidR="00000000" w:rsidDel="00000000" w:rsidP="00000000" w:rsidRDefault="00000000" w:rsidRPr="00000000" w14:paraId="00000192">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Linkage to global/regional goals &amp; local/regional priorities</w:t>
            </w:r>
          </w:p>
          <w:p w:rsidR="00000000" w:rsidDel="00000000" w:rsidP="00000000" w:rsidRDefault="00000000" w:rsidRPr="00000000" w14:paraId="00000193">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Structural barriers</w:t>
            </w:r>
          </w:p>
          <w:p w:rsidR="00000000" w:rsidDel="00000000" w:rsidP="00000000" w:rsidRDefault="00000000" w:rsidRPr="00000000" w14:paraId="00000194">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Advocacy, programmatic Incentives for integration</w:t>
            </w:r>
          </w:p>
          <w:p w:rsidR="00000000" w:rsidDel="00000000" w:rsidP="00000000" w:rsidRDefault="00000000" w:rsidRPr="00000000" w14:paraId="00000195">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Awareness of other campaign interventions being planned or in progress.</w:t>
            </w:r>
          </w:p>
          <w:p w:rsidR="00000000" w:rsidDel="00000000" w:rsidP="00000000" w:rsidRDefault="00000000" w:rsidRPr="00000000" w14:paraId="00000196">
            <w:pPr>
              <w:numPr>
                <w:ilvl w:val="0"/>
                <w:numId w:val="2"/>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color w:val="000000"/>
                <w:rtl w:val="0"/>
              </w:rPr>
              <w:t xml:space="preserve">Monitoring post campaign adverse events if applicable</w:t>
            </w:r>
            <w:r w:rsidDel="00000000" w:rsidR="00000000" w:rsidRPr="00000000">
              <w:rPr>
                <w:rtl w:val="0"/>
              </w:rPr>
            </w:r>
          </w:p>
        </w:tc>
      </w:tr>
    </w:tbl>
    <w:p w:rsidR="00000000" w:rsidDel="00000000" w:rsidP="00000000" w:rsidRDefault="00000000" w:rsidRPr="00000000" w14:paraId="00000197">
      <w:pPr>
        <w:rPr>
          <w:rFonts w:ascii="Calibri" w:cs="Calibri" w:eastAsia="Calibri" w:hAnsi="Calibri"/>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98">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0" w:before="0" w:line="240" w:lineRule="auto"/>
        <w:ind w:left="864" w:right="864" w:firstLine="0"/>
        <w:jc w:val="center"/>
        <w:rPr>
          <w:rFonts w:ascii="Times New Roman" w:cs="Times New Roman" w:eastAsia="Times New Roman" w:hAnsi="Times New Roman"/>
          <w:b w:val="1"/>
          <w:i w:val="0"/>
          <w:smallCaps w:val="0"/>
          <w:strike w:val="0"/>
          <w:color w:val="4472c4"/>
          <w:sz w:val="22"/>
          <w:szCs w:val="22"/>
          <w:u w:val="none"/>
          <w:shd w:fill="auto" w:val="clear"/>
          <w:vertAlign w:val="baseline"/>
        </w:rPr>
      </w:pPr>
      <w:bookmarkStart w:colFirst="0" w:colLast="0" w:name="_heading=h.17dp8vu" w:id="12"/>
      <w:bookmarkEnd w:id="12"/>
      <w:r w:rsidDel="00000000" w:rsidR="00000000" w:rsidRPr="00000000">
        <w:rPr>
          <w:rFonts w:ascii="Calibri" w:cs="Calibri" w:eastAsia="Calibri" w:hAnsi="Calibri"/>
          <w:b w:val="1"/>
          <w:i w:val="0"/>
          <w:smallCaps w:val="0"/>
          <w:strike w:val="0"/>
          <w:color w:val="4472c4"/>
          <w:sz w:val="32"/>
          <w:szCs w:val="32"/>
          <w:u w:val="none"/>
          <w:shd w:fill="auto" w:val="clear"/>
          <w:vertAlign w:val="baseline"/>
          <w:rtl w:val="0"/>
        </w:rPr>
        <w:t xml:space="preserve">Step 2c:</w:t>
      </w: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 Explore the Possibilities and Identify Pairings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This tool depicts campaign pairing examples for facilitators and barriers and should stimulate ideas for applying the matrix and key criteria.</w:t>
      </w:r>
      <w:r w:rsidDel="00000000" w:rsidR="00000000" w:rsidRPr="00000000">
        <w:rPr>
          <w:rtl w:val="0"/>
        </w:rPr>
      </w:r>
    </w:p>
    <w:p w:rsidR="00000000" w:rsidDel="00000000" w:rsidP="00000000" w:rsidRDefault="00000000" w:rsidRPr="00000000" w14:paraId="00000199">
      <w:pPr>
        <w:jc w:val="center"/>
        <w:rPr>
          <w:rFonts w:ascii="Calibri" w:cs="Calibri" w:eastAsia="Calibri" w:hAnsi="Calibri"/>
          <w:b w:val="1"/>
          <w:color w:val="000000"/>
          <w:sz w:val="32"/>
          <w:szCs w:val="32"/>
        </w:rPr>
      </w:pPr>
      <w:bookmarkStart w:colFirst="0" w:colLast="0" w:name="_heading=h.3rdcrjn" w:id="13"/>
      <w:bookmarkEnd w:id="13"/>
      <w:r w:rsidDel="00000000" w:rsidR="00000000" w:rsidRPr="00000000">
        <w:rPr>
          <w:rFonts w:ascii="Calibri" w:cs="Calibri" w:eastAsia="Calibri" w:hAnsi="Calibri"/>
          <w:b w:val="1"/>
          <w:color w:val="000000"/>
          <w:sz w:val="32"/>
          <w:szCs w:val="32"/>
          <w:rtl w:val="0"/>
        </w:rPr>
        <w:t xml:space="preserve">Example and Sample Pairings of Health Interventions</w:t>
      </w:r>
      <w:r w:rsidDel="00000000" w:rsidR="00000000" w:rsidRPr="00000000">
        <w:rPr/>
        <mc:AlternateContent>
          <mc:Choice Requires="wpg">
            <w:drawing>
              <wp:anchor allowOverlap="1" behindDoc="0" distB="0" distT="0" distL="0" distR="0" hidden="0" layoutInCell="1" locked="0" relativeHeight="0" simplePos="0">
                <wp:simplePos x="0" y="0"/>
                <wp:positionH relativeFrom="margin">
                  <wp:posOffset>-48493</wp:posOffset>
                </wp:positionH>
                <wp:positionV relativeFrom="page">
                  <wp:posOffset>6085937</wp:posOffset>
                </wp:positionV>
                <wp:extent cx="5398770" cy="1106805"/>
                <wp:effectExtent b="0" l="0" r="0" t="0"/>
                <wp:wrapSquare wrapText="bothSides" distB="0" distT="0" distL="0" distR="0"/>
                <wp:docPr id="273" name=""/>
                <a:graphic>
                  <a:graphicData uri="http://schemas.microsoft.com/office/word/2010/wordprocessingShape">
                    <wps:wsp>
                      <wps:cNvSpPr/>
                      <wps:cNvPr id="2" name="Shape 2"/>
                      <wps:spPr>
                        <a:xfrm>
                          <a:off x="2651378" y="3231360"/>
                          <a:ext cx="5389245" cy="109728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Step 3 -“Zoom-In”:</w:t>
                            </w:r>
                            <w:r w:rsidDel="00000000" w:rsidR="00000000" w:rsidRPr="00000000">
                              <w:rPr>
                                <w:rFonts w:ascii="Calibri" w:cs="Calibri" w:eastAsia="Calibri" w:hAnsi="Calibri"/>
                                <w:b w:val="0"/>
                                <w:i w:val="0"/>
                                <w:smallCaps w:val="0"/>
                                <w:strike w:val="0"/>
                                <w:color w:val="000000"/>
                                <w:sz w:val="22"/>
                                <w:vertAlign w:val="baseline"/>
                              </w:rPr>
                              <w:t xml:space="preserve"> Once possible pairings or bundles of interventions have been identified, “zoom-in” and identify specific facilitators and barriers from the key criteria on page 5, Appendix A,  and Appendix 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An example of the pre-planning for integration between a measles and malaria ITN campaign is shown below with key facilitators and barriers identified.</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margin">
                  <wp:posOffset>-48493</wp:posOffset>
                </wp:positionH>
                <wp:positionV relativeFrom="page">
                  <wp:posOffset>6085937</wp:posOffset>
                </wp:positionV>
                <wp:extent cx="5398770" cy="1106805"/>
                <wp:effectExtent b="0" l="0" r="0" t="0"/>
                <wp:wrapSquare wrapText="bothSides" distB="0" distT="0" distL="0" distR="0"/>
                <wp:docPr id="273" name="image5.png"/>
                <a:graphic>
                  <a:graphicData uri="http://schemas.openxmlformats.org/drawingml/2006/picture">
                    <pic:pic>
                      <pic:nvPicPr>
                        <pic:cNvPr id="0" name="image5.png"/>
                        <pic:cNvPicPr preferRelativeResize="0"/>
                      </pic:nvPicPr>
                      <pic:blipFill>
                        <a:blip r:embed="rId33"/>
                        <a:srcRect/>
                        <a:stretch>
                          <a:fillRect/>
                        </a:stretch>
                      </pic:blipFill>
                      <pic:spPr>
                        <a:xfrm>
                          <a:off x="0" y="0"/>
                          <a:ext cx="5398770" cy="110680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margin">
                  <wp:align>left</wp:align>
                </wp:positionH>
                <wp:positionV relativeFrom="margin">
                  <wp:posOffset>2701435</wp:posOffset>
                </wp:positionV>
                <wp:extent cx="5398770" cy="964118"/>
                <wp:effectExtent b="0" l="0" r="0" t="0"/>
                <wp:wrapSquare wrapText="bothSides" distB="0" distT="0" distL="0" distR="0"/>
                <wp:docPr id="279" name=""/>
                <a:graphic>
                  <a:graphicData uri="http://schemas.microsoft.com/office/word/2010/wordprocessingShape">
                    <wps:wsp>
                      <wps:cNvSpPr/>
                      <wps:cNvPr id="8" name="Shape 8"/>
                      <wps:spPr>
                        <a:xfrm>
                          <a:off x="2651378" y="3302704"/>
                          <a:ext cx="5389245" cy="954593"/>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Step 1 - Explore:</w:t>
                            </w:r>
                            <w:r w:rsidDel="00000000" w:rsidR="00000000" w:rsidRPr="00000000">
                              <w:rPr>
                                <w:rFonts w:ascii="Calibri" w:cs="Calibri" w:eastAsia="Calibri" w:hAnsi="Calibri"/>
                                <w:b w:val="0"/>
                                <w:i w:val="0"/>
                                <w:smallCaps w:val="0"/>
                                <w:strike w:val="0"/>
                                <w:color w:val="000000"/>
                                <w:sz w:val="22"/>
                                <w:vertAlign w:val="baseline"/>
                              </w:rPr>
                              <w:t xml:space="preserve"> Explore </w:t>
                            </w:r>
                            <w:r w:rsidDel="00000000" w:rsidR="00000000" w:rsidRPr="00000000">
                              <w:rPr>
                                <w:rFonts w:ascii="Calibri" w:cs="Calibri" w:eastAsia="Calibri" w:hAnsi="Calibri"/>
                                <w:b w:val="0"/>
                                <w:i w:val="1"/>
                                <w:smallCaps w:val="0"/>
                                <w:strike w:val="0"/>
                                <w:color w:val="000000"/>
                                <w:sz w:val="22"/>
                                <w:vertAlign w:val="baseline"/>
                              </w:rPr>
                              <w:t xml:space="preserve">other</w:t>
                            </w:r>
                            <w:r w:rsidDel="00000000" w:rsidR="00000000" w:rsidRPr="00000000">
                              <w:rPr>
                                <w:rFonts w:ascii="Calibri" w:cs="Calibri" w:eastAsia="Calibri" w:hAnsi="Calibri"/>
                                <w:b w:val="0"/>
                                <w:i w:val="0"/>
                                <w:smallCaps w:val="0"/>
                                <w:strike w:val="0"/>
                                <w:color w:val="000000"/>
                                <w:sz w:val="22"/>
                                <w:vertAlign w:val="baseline"/>
                              </w:rPr>
                              <w:t xml:space="preserve"> health interventions from the perspective of your current role (e.g. local district, country, or global level).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For example, country or state-level planners of a Measles immunization campaign would research planned/ongoing campaigns in their country (e.g., immunizations, malaria, NTDs, and VitA).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margin">
                  <wp:align>left</wp:align>
                </wp:positionH>
                <wp:positionV relativeFrom="margin">
                  <wp:posOffset>2701435</wp:posOffset>
                </wp:positionV>
                <wp:extent cx="5398770" cy="964118"/>
                <wp:effectExtent b="0" l="0" r="0" t="0"/>
                <wp:wrapSquare wrapText="bothSides" distB="0" distT="0" distL="0" distR="0"/>
                <wp:docPr id="279"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5398770" cy="964118"/>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6426200</wp:posOffset>
                </wp:positionH>
                <wp:positionV relativeFrom="paragraph">
                  <wp:posOffset>3327400</wp:posOffset>
                </wp:positionV>
                <wp:extent cx="5398770" cy="813393"/>
                <wp:effectExtent b="0" l="0" r="0" t="0"/>
                <wp:wrapSquare wrapText="bothSides" distB="0" distT="0" distL="0" distR="0"/>
                <wp:docPr id="282" name=""/>
                <a:graphic>
                  <a:graphicData uri="http://schemas.microsoft.com/office/word/2010/wordprocessingShape">
                    <wps:wsp>
                      <wps:cNvSpPr/>
                      <wps:cNvPr id="18" name="Shape 18"/>
                      <wps:spPr>
                        <a:xfrm>
                          <a:off x="2651378" y="3378066"/>
                          <a:ext cx="5389245" cy="803868"/>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Step 2 - Identify Pairings: </w:t>
                            </w:r>
                            <w:r w:rsidDel="00000000" w:rsidR="00000000" w:rsidRPr="00000000">
                              <w:rPr>
                                <w:rFonts w:ascii="Calibri" w:cs="Calibri" w:eastAsia="Calibri" w:hAnsi="Calibri"/>
                                <w:b w:val="0"/>
                                <w:i w:val="0"/>
                                <w:smallCaps w:val="0"/>
                                <w:strike w:val="0"/>
                                <w:color w:val="000000"/>
                                <w:sz w:val="22"/>
                                <w:vertAlign w:val="baseline"/>
                              </w:rPr>
                              <w:t xml:space="preserve">Identify a specific campaign(s) that may be a possible target for integration.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A planner of an immunization campaign may identify Malaria ITN’s as a potential fit. Alternatively, a VitA campaign manager may identify STH as a potential fit.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6426200</wp:posOffset>
                </wp:positionH>
                <wp:positionV relativeFrom="paragraph">
                  <wp:posOffset>3327400</wp:posOffset>
                </wp:positionV>
                <wp:extent cx="5398770" cy="813393"/>
                <wp:effectExtent b="0" l="0" r="0" t="0"/>
                <wp:wrapSquare wrapText="bothSides" distB="0" distT="0" distL="0" distR="0"/>
                <wp:docPr id="282" name="image30.png"/>
                <a:graphic>
                  <a:graphicData uri="http://schemas.openxmlformats.org/drawingml/2006/picture">
                    <pic:pic>
                      <pic:nvPicPr>
                        <pic:cNvPr id="0" name="image30.png"/>
                        <pic:cNvPicPr preferRelativeResize="0"/>
                      </pic:nvPicPr>
                      <pic:blipFill>
                        <a:blip r:embed="rId35"/>
                        <a:srcRect/>
                        <a:stretch>
                          <a:fillRect/>
                        </a:stretch>
                      </pic:blipFill>
                      <pic:spPr>
                        <a:xfrm>
                          <a:off x="0" y="0"/>
                          <a:ext cx="5398770" cy="813393"/>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81281</wp:posOffset>
            </wp:positionH>
            <wp:positionV relativeFrom="paragraph">
              <wp:posOffset>338265</wp:posOffset>
            </wp:positionV>
            <wp:extent cx="4389120" cy="1682115"/>
            <wp:effectExtent b="0" l="0" r="0" t="0"/>
            <wp:wrapNone/>
            <wp:docPr id="300" name="image23.png"/>
            <a:graphic>
              <a:graphicData uri="http://schemas.openxmlformats.org/drawingml/2006/picture">
                <pic:pic>
                  <pic:nvPicPr>
                    <pic:cNvPr id="0" name="image23.png"/>
                    <pic:cNvPicPr preferRelativeResize="0"/>
                  </pic:nvPicPr>
                  <pic:blipFill>
                    <a:blip r:embed="rId36"/>
                    <a:srcRect b="7778" l="0" r="0" t="0"/>
                    <a:stretch>
                      <a:fillRect/>
                    </a:stretch>
                  </pic:blipFill>
                  <pic:spPr>
                    <a:xfrm>
                      <a:off x="0" y="0"/>
                      <a:ext cx="4389120" cy="16821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6478905</wp:posOffset>
            </wp:positionH>
            <wp:positionV relativeFrom="paragraph">
              <wp:posOffset>328740</wp:posOffset>
            </wp:positionV>
            <wp:extent cx="4389120" cy="1682115"/>
            <wp:effectExtent b="0" l="0" r="0" t="0"/>
            <wp:wrapNone/>
            <wp:docPr id="308" name="image26.png"/>
            <a:graphic>
              <a:graphicData uri="http://schemas.openxmlformats.org/drawingml/2006/picture">
                <pic:pic>
                  <pic:nvPicPr>
                    <pic:cNvPr id="0" name="image26.png"/>
                    <pic:cNvPicPr preferRelativeResize="0"/>
                  </pic:nvPicPr>
                  <pic:blipFill>
                    <a:blip r:embed="rId37"/>
                    <a:srcRect b="7778" l="0" r="0" t="0"/>
                    <a:stretch>
                      <a:fillRect/>
                    </a:stretch>
                  </pic:blipFill>
                  <pic:spPr>
                    <a:xfrm>
                      <a:off x="0" y="0"/>
                      <a:ext cx="4389120" cy="1682115"/>
                    </a:xfrm>
                    <a:prstGeom prst="rect"/>
                    <a:ln/>
                  </pic:spPr>
                </pic:pic>
              </a:graphicData>
            </a:graphic>
          </wp:anchor>
        </w:drawing>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tabs>
          <w:tab w:val="left" w:pos="10352"/>
        </w:tabs>
        <w:rPr/>
      </w:pPr>
      <w:r w:rsidDel="00000000" w:rsidR="00000000" w:rsidRPr="00000000">
        <w:rPr>
          <w:rtl w:val="0"/>
        </w:rPr>
        <w:tab/>
      </w:r>
    </w:p>
    <w:p w:rsidR="00000000" w:rsidDel="00000000" w:rsidP="00000000" w:rsidRDefault="00000000" w:rsidRPr="00000000" w14:paraId="0000019C">
      <w:pPr>
        <w:rPr/>
      </w:pPr>
      <w:bookmarkStart w:colFirst="0" w:colLast="0" w:name="_heading=h.4i7ojhp" w:id="14"/>
      <w:bookmarkEnd w:id="14"/>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page">
              <wp:posOffset>4411117</wp:posOffset>
            </wp:positionV>
            <wp:extent cx="4389120" cy="1673352"/>
            <wp:effectExtent b="0" l="0" r="0" t="0"/>
            <wp:wrapNone/>
            <wp:docPr id="312" name="image29.png"/>
            <a:graphic>
              <a:graphicData uri="http://schemas.openxmlformats.org/drawingml/2006/picture">
                <pic:pic>
                  <pic:nvPicPr>
                    <pic:cNvPr id="0" name="image29.png"/>
                    <pic:cNvPicPr preferRelativeResize="0"/>
                  </pic:nvPicPr>
                  <pic:blipFill>
                    <a:blip r:embed="rId38"/>
                    <a:srcRect b="8333" l="0" r="0" t="0"/>
                    <a:stretch>
                      <a:fillRect/>
                    </a:stretch>
                  </pic:blipFill>
                  <pic:spPr>
                    <a:xfrm>
                      <a:off x="0" y="0"/>
                      <a:ext cx="4389120" cy="1673352"/>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6541135</wp:posOffset>
            </wp:positionH>
            <wp:positionV relativeFrom="paragraph">
              <wp:posOffset>0</wp:posOffset>
            </wp:positionV>
            <wp:extent cx="4389120" cy="1691640"/>
            <wp:effectExtent b="0" l="0" r="0" t="0"/>
            <wp:wrapNone/>
            <wp:docPr id="303"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4389120" cy="1691640"/>
                    </a:xfrm>
                    <a:prstGeom prst="rect"/>
                    <a:ln/>
                  </pic:spPr>
                </pic:pic>
              </a:graphicData>
            </a:graphic>
          </wp:anchor>
        </w:drawing>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tabs>
          <w:tab w:val="left" w:pos="10548"/>
        </w:tabs>
        <w:rPr/>
      </w:pPr>
      <w:r w:rsidDel="00000000" w:rsidR="00000000" w:rsidRPr="00000000">
        <w:rPr>
          <w:rtl w:val="0"/>
        </w:rPr>
        <w:tab/>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mc:AlternateContent>
          <mc:Choice Requires="wpg">
            <w:drawing>
              <wp:anchor allowOverlap="1" behindDoc="0" distB="0" distT="0" distL="0" distR="0" hidden="0" layoutInCell="1" locked="0" relativeHeight="0" simplePos="0">
                <wp:simplePos x="0" y="0"/>
                <wp:positionH relativeFrom="margin">
                  <wp:posOffset>6412548</wp:posOffset>
                </wp:positionH>
                <wp:positionV relativeFrom="margin">
                  <wp:posOffset>5471907</wp:posOffset>
                </wp:positionV>
                <wp:extent cx="5398770" cy="485775"/>
                <wp:effectExtent b="0" l="0" r="0" t="0"/>
                <wp:wrapNone/>
                <wp:docPr id="278" name=""/>
                <a:graphic>
                  <a:graphicData uri="http://schemas.microsoft.com/office/word/2010/wordprocessingShape">
                    <wps:wsp>
                      <wps:cNvSpPr/>
                      <wps:cNvPr id="7" name="Shape 7"/>
                      <wps:spPr>
                        <a:xfrm>
                          <a:off x="2651378" y="3541875"/>
                          <a:ext cx="5389245" cy="4762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Step 4- Consult with Colleagues </w:t>
                            </w:r>
                            <w:r w:rsidDel="00000000" w:rsidR="00000000" w:rsidRPr="00000000">
                              <w:rPr>
                                <w:rFonts w:ascii="Calibri" w:cs="Calibri" w:eastAsia="Calibri" w:hAnsi="Calibri"/>
                                <w:b w:val="0"/>
                                <w:i w:val="0"/>
                                <w:smallCaps w:val="0"/>
                                <w:strike w:val="0"/>
                                <w:color w:val="000000"/>
                                <w:sz w:val="22"/>
                                <w:vertAlign w:val="baseline"/>
                              </w:rPr>
                              <w:t xml:space="preserve">in the departments that oversee the campaigns on the key facilitators and barriers for integration.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margin">
                  <wp:posOffset>6412548</wp:posOffset>
                </wp:positionH>
                <wp:positionV relativeFrom="margin">
                  <wp:posOffset>5471907</wp:posOffset>
                </wp:positionV>
                <wp:extent cx="5398770" cy="485775"/>
                <wp:effectExtent b="0" l="0" r="0" t="0"/>
                <wp:wrapNone/>
                <wp:docPr id="278" name="image19.png"/>
                <a:graphic>
                  <a:graphicData uri="http://schemas.openxmlformats.org/drawingml/2006/picture">
                    <pic:pic>
                      <pic:nvPicPr>
                        <pic:cNvPr id="0" name="image19.png"/>
                        <pic:cNvPicPr preferRelativeResize="0"/>
                      </pic:nvPicPr>
                      <pic:blipFill>
                        <a:blip r:embed="rId40"/>
                        <a:srcRect/>
                        <a:stretch>
                          <a:fillRect/>
                        </a:stretch>
                      </pic:blipFill>
                      <pic:spPr>
                        <a:xfrm>
                          <a:off x="0" y="0"/>
                          <a:ext cx="5398770" cy="4857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A1">
      <w:pPr>
        <w:tabs>
          <w:tab w:val="left" w:pos="13783"/>
        </w:tabs>
        <w:rPr/>
      </w:pPr>
      <w:r w:rsidDel="00000000" w:rsidR="00000000" w:rsidRPr="00000000">
        <w:rPr>
          <w:rtl w:val="0"/>
        </w:rPr>
        <w:tab/>
      </w:r>
    </w:p>
    <w:p w:rsidR="00000000" w:rsidDel="00000000" w:rsidP="00000000" w:rsidRDefault="00000000" w:rsidRPr="00000000" w14:paraId="000001A2">
      <w:pPr>
        <w:tabs>
          <w:tab w:val="left" w:pos="15410"/>
        </w:tabs>
        <w:rPr/>
      </w:pPr>
      <w:r w:rsidDel="00000000" w:rsidR="00000000" w:rsidRPr="00000000">
        <w:rPr>
          <w:rtl w:val="0"/>
        </w:rPr>
        <w:tab/>
      </w:r>
    </w:p>
    <w:p w:rsidR="00000000" w:rsidDel="00000000" w:rsidP="00000000" w:rsidRDefault="00000000" w:rsidRPr="00000000" w14:paraId="000001A3">
      <w:pPr>
        <w:rPr>
          <w:b w:val="1"/>
          <w:color w:val="000000"/>
          <w:sz w:val="32"/>
          <w:szCs w:val="32"/>
        </w:rPr>
      </w:pPr>
      <w:r w:rsidDel="00000000" w:rsidR="00000000" w:rsidRPr="00000000">
        <w:rPr>
          <w:rtl w:val="0"/>
        </w:rPr>
      </w:r>
    </w:p>
    <w:p w:rsidR="00000000" w:rsidDel="00000000" w:rsidP="00000000" w:rsidRDefault="00000000" w:rsidRPr="00000000" w14:paraId="000001A4">
      <w:pPr>
        <w:rPr>
          <w:b w:val="1"/>
          <w:color w:val="000000"/>
          <w:sz w:val="32"/>
          <w:szCs w:val="32"/>
        </w:rPr>
      </w:pPr>
      <w:r w:rsidDel="00000000" w:rsidR="00000000" w:rsidRPr="00000000">
        <w:rPr>
          <w:b w:val="1"/>
          <w:color w:val="000000"/>
        </w:rPr>
        <w:drawing>
          <wp:anchor allowOverlap="1" behindDoc="0" distB="0" distT="0" distL="0" distR="0" hidden="0" layoutInCell="1" locked="0" relativeHeight="0" simplePos="0">
            <wp:simplePos x="0" y="0"/>
            <wp:positionH relativeFrom="margin">
              <wp:align>center</wp:align>
            </wp:positionH>
            <wp:positionV relativeFrom="page">
              <wp:posOffset>1008380</wp:posOffset>
            </wp:positionV>
            <wp:extent cx="11181715" cy="5178425"/>
            <wp:effectExtent b="0" l="0" r="0" t="0"/>
            <wp:wrapSquare wrapText="bothSides" distB="0" distT="0" distL="0" distR="0"/>
            <wp:docPr id="295" name="image31.png"/>
            <a:graphic>
              <a:graphicData uri="http://schemas.openxmlformats.org/drawingml/2006/picture">
                <pic:pic>
                  <pic:nvPicPr>
                    <pic:cNvPr id="0" name="image31.png"/>
                    <pic:cNvPicPr preferRelativeResize="0"/>
                  </pic:nvPicPr>
                  <pic:blipFill>
                    <a:blip r:embed="rId41"/>
                    <a:srcRect b="0" l="0" r="0" t="5507"/>
                    <a:stretch>
                      <a:fillRect/>
                    </a:stretch>
                  </pic:blipFill>
                  <pic:spPr>
                    <a:xfrm>
                      <a:off x="0" y="0"/>
                      <a:ext cx="11181715" cy="5178425"/>
                    </a:xfrm>
                    <a:prstGeom prst="rect"/>
                    <a:ln/>
                  </pic:spPr>
                </pic:pic>
              </a:graphicData>
            </a:graphic>
          </wp:anchor>
        </w:drawing>
      </w:r>
      <w:r w:rsidDel="00000000" w:rsidR="00000000" w:rsidRPr="00000000">
        <w:rPr/>
        <mc:AlternateContent>
          <mc:Choice Requires="wpg">
            <w:drawing>
              <wp:anchor allowOverlap="1" behindDoc="0" distB="0" distT="0" distL="0" distR="0" hidden="0" layoutInCell="1" locked="0" relativeHeight="0" simplePos="0">
                <wp:simplePos x="0" y="0"/>
                <wp:positionH relativeFrom="margin">
                  <wp:posOffset>581343</wp:posOffset>
                </wp:positionH>
                <wp:positionV relativeFrom="page">
                  <wp:posOffset>633413</wp:posOffset>
                </wp:positionV>
                <wp:extent cx="10701020" cy="362585"/>
                <wp:effectExtent b="0" l="0" r="0" t="0"/>
                <wp:wrapNone/>
                <wp:docPr id="276" name=""/>
                <a:graphic>
                  <a:graphicData uri="http://schemas.microsoft.com/office/word/2010/wordprocessingShape">
                    <wps:wsp>
                      <wps:cNvSpPr/>
                      <wps:cNvPr id="5" name="Shape 5"/>
                      <wps:spPr>
                        <a:xfrm>
                          <a:off x="253" y="3603470"/>
                          <a:ext cx="10691495" cy="35306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Example (Cont’d): Integrating Measles Immunization with ITNs &amp; Integrating Vitamin A with Deworming/STH</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margin">
                  <wp:posOffset>581343</wp:posOffset>
                </wp:positionH>
                <wp:positionV relativeFrom="page">
                  <wp:posOffset>633413</wp:posOffset>
                </wp:positionV>
                <wp:extent cx="10701020" cy="362585"/>
                <wp:effectExtent b="0" l="0" r="0" t="0"/>
                <wp:wrapNone/>
                <wp:docPr id="276"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10701020" cy="362585"/>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1A5">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0" w:before="0" w:line="240" w:lineRule="auto"/>
        <w:ind w:left="864" w:right="864" w:firstLine="0"/>
        <w:jc w:val="center"/>
        <w:rPr>
          <w:rFonts w:ascii="Times New Roman" w:cs="Times New Roman" w:eastAsia="Times New Roman" w:hAnsi="Times New Roman"/>
          <w:b w:val="1"/>
          <w:i w:val="0"/>
          <w:smallCaps w:val="0"/>
          <w:strike w:val="0"/>
          <w:color w:val="4472c4"/>
          <w:sz w:val="22"/>
          <w:szCs w:val="22"/>
          <w:u w:val="none"/>
          <w:shd w:fill="auto" w:val="clear"/>
          <w:vertAlign w:val="baseline"/>
        </w:rPr>
      </w:pPr>
      <w:bookmarkStart w:colFirst="0" w:colLast="0" w:name="_heading=h.1ci93xb" w:id="15"/>
      <w:bookmarkEnd w:id="15"/>
      <w:r w:rsidDel="00000000" w:rsidR="00000000" w:rsidRPr="00000000">
        <w:rPr>
          <w:rFonts w:ascii="Calibri" w:cs="Calibri" w:eastAsia="Calibri" w:hAnsi="Calibri"/>
          <w:b w:val="1"/>
          <w:i w:val="0"/>
          <w:smallCaps w:val="0"/>
          <w:strike w:val="0"/>
          <w:color w:val="4472c4"/>
          <w:sz w:val="32"/>
          <w:szCs w:val="32"/>
          <w:u w:val="none"/>
          <w:shd w:fill="auto" w:val="clear"/>
          <w:vertAlign w:val="baseline"/>
          <w:rtl w:val="0"/>
        </w:rPr>
        <w:t xml:space="preserve">Step 3a:</w:t>
      </w: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 Customize According to Global, Country, and/or Local Context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Assemble existing global or national policies and standards, as well as the sub-national or local contexts, to further assess whether integration is feasible and appropriate. Fill in the cells based on the suggested criteria to help this decision and planning process.   </w:t>
      </w:r>
      <w:r w:rsidDel="00000000" w:rsidR="00000000" w:rsidRPr="00000000">
        <w:rPr>
          <w:rtl w:val="0"/>
        </w:rPr>
      </w:r>
    </w:p>
    <w:p w:rsidR="00000000" w:rsidDel="00000000" w:rsidP="00000000" w:rsidRDefault="00000000" w:rsidRPr="00000000" w14:paraId="000001A6">
      <w:pPr>
        <w:pStyle w:val="Heading1"/>
        <w:jc w:val="center"/>
        <w:rPr>
          <w:rFonts w:ascii="Calibri" w:cs="Calibri" w:eastAsia="Calibri" w:hAnsi="Calibri"/>
          <w:b w:val="1"/>
          <w:color w:val="000000"/>
        </w:rPr>
      </w:pPr>
      <w:bookmarkStart w:colFirst="0" w:colLast="0" w:name="_heading=h.3whwml4" w:id="16"/>
      <w:bookmarkEnd w:id="16"/>
      <w:r w:rsidDel="00000000" w:rsidR="00000000" w:rsidRPr="00000000">
        <w:rPr>
          <w:rFonts w:ascii="Calibri" w:cs="Calibri" w:eastAsia="Calibri" w:hAnsi="Calibri"/>
          <w:b w:val="1"/>
          <w:color w:val="000000"/>
          <w:rtl w:val="0"/>
        </w:rPr>
        <w:t xml:space="preserve">Appendix A: Worksheet for Global and Country Standards on Planning Health Campaign Integration</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Country: __________ Month/Year of Planned Integration: ____________________________________    Agencies involved: ______________________________________________________________</w:t>
      </w:r>
    </w:p>
    <w:p w:rsidR="00000000" w:rsidDel="00000000" w:rsidP="00000000" w:rsidRDefault="00000000" w:rsidRPr="00000000" w14:paraId="000001A9">
      <w:pPr>
        <w:rPr>
          <w:i w:val="1"/>
        </w:rPr>
      </w:pPr>
      <w:r w:rsidDel="00000000" w:rsidR="00000000" w:rsidRPr="00000000">
        <w:rPr>
          <w:i w:val="1"/>
          <w:rtl w:val="0"/>
        </w:rPr>
        <w:t xml:space="preserve">Directions: Campaign planners discussing integration should list the campaigns below and write in the cells a summary of their thoughts or observations.</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Intervention 1: ________________ Intervention 2: __________________</w:t>
      </w:r>
    </w:p>
    <w:p w:rsidR="00000000" w:rsidDel="00000000" w:rsidP="00000000" w:rsidRDefault="00000000" w:rsidRPr="00000000" w14:paraId="000001AC">
      <w:pPr>
        <w:rPr/>
      </w:pPr>
      <w:r w:rsidDel="00000000" w:rsidR="00000000" w:rsidRPr="00000000">
        <w:rPr>
          <w:rtl w:val="0"/>
        </w:rPr>
      </w:r>
    </w:p>
    <w:tbl>
      <w:tblPr>
        <w:tblStyle w:val="Table5"/>
        <w:tblW w:w="17905.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95"/>
        <w:gridCol w:w="1530"/>
        <w:gridCol w:w="3960"/>
        <w:gridCol w:w="4140"/>
        <w:gridCol w:w="3780"/>
        <w:tblGridChange w:id="0">
          <w:tblGrid>
            <w:gridCol w:w="4495"/>
            <w:gridCol w:w="1530"/>
            <w:gridCol w:w="3960"/>
            <w:gridCol w:w="4140"/>
            <w:gridCol w:w="3780"/>
          </w:tblGrid>
        </w:tblGridChange>
      </w:tblGrid>
      <w:tr>
        <w:trPr>
          <w:trHeight w:val="581" w:hRule="atLeast"/>
        </w:trPr>
        <w:tc>
          <w:tcPr>
            <w:gridSpan w:val="2"/>
            <w:tcBorders>
              <w:top w:color="000000" w:space="0" w:sz="8" w:val="single"/>
              <w:left w:color="000000" w:space="0" w:sz="8" w:val="single"/>
              <w:bottom w:color="000000" w:space="0" w:sz="8" w:val="single"/>
              <w:right w:color="000000" w:space="0" w:sz="4" w:val="single"/>
            </w:tcBorders>
            <w:shd w:fill="d9d9d9" w:val="clear"/>
            <w:vAlign w:val="center"/>
          </w:tcPr>
          <w:p w:rsidR="00000000" w:rsidDel="00000000" w:rsidP="00000000" w:rsidRDefault="00000000" w:rsidRPr="00000000" w14:paraId="000001AD">
            <w:pPr>
              <w:jc w:val="center"/>
              <w:rPr>
                <w:b w:val="1"/>
                <w:color w:val="000000"/>
                <w:sz w:val="22"/>
                <w:szCs w:val="22"/>
              </w:rPr>
            </w:pPr>
            <w:r w:rsidDel="00000000" w:rsidR="00000000" w:rsidRPr="00000000">
              <w:rPr>
                <w:b w:val="1"/>
                <w:color w:val="000000"/>
                <w:sz w:val="22"/>
                <w:szCs w:val="22"/>
                <w:rtl w:val="0"/>
              </w:rPr>
              <w:t xml:space="preserve">Criterion</w:t>
            </w:r>
          </w:p>
        </w:tc>
        <w:tc>
          <w:tcPr>
            <w:tcBorders>
              <w:top w:color="000000" w:space="0" w:sz="8" w:val="single"/>
              <w:left w:color="000000" w:space="0" w:sz="0" w:val="nil"/>
              <w:bottom w:color="000000" w:space="0" w:sz="8" w:val="single"/>
              <w:right w:color="000000" w:space="0" w:sz="4" w:val="single"/>
            </w:tcBorders>
            <w:shd w:fill="d9d9d9" w:val="clear"/>
            <w:vAlign w:val="center"/>
          </w:tcPr>
          <w:p w:rsidR="00000000" w:rsidDel="00000000" w:rsidP="00000000" w:rsidRDefault="00000000" w:rsidRPr="00000000" w14:paraId="000001AF">
            <w:pPr>
              <w:jc w:val="center"/>
              <w:rPr>
                <w:b w:val="1"/>
                <w:color w:val="000000"/>
                <w:sz w:val="22"/>
                <w:szCs w:val="22"/>
              </w:rPr>
            </w:pPr>
            <w:r w:rsidDel="00000000" w:rsidR="00000000" w:rsidRPr="00000000">
              <w:rPr>
                <w:b w:val="1"/>
                <w:color w:val="000000"/>
                <w:sz w:val="22"/>
                <w:szCs w:val="22"/>
                <w:rtl w:val="0"/>
              </w:rPr>
              <w:t xml:space="preserve">Global Guidelines or Standards</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1B0">
            <w:pPr>
              <w:jc w:val="center"/>
              <w:rPr>
                <w:b w:val="1"/>
                <w:color w:val="000000"/>
                <w:sz w:val="22"/>
                <w:szCs w:val="22"/>
              </w:rPr>
            </w:pPr>
            <w:r w:rsidDel="00000000" w:rsidR="00000000" w:rsidRPr="00000000">
              <w:rPr>
                <w:b w:val="1"/>
                <w:color w:val="000000"/>
                <w:sz w:val="22"/>
                <w:szCs w:val="22"/>
                <w:rtl w:val="0"/>
              </w:rPr>
              <w:t xml:space="preserve">Country's Guidelines, Policy, Standards</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1B1">
            <w:pPr>
              <w:jc w:val="center"/>
              <w:rPr>
                <w:b w:val="1"/>
                <w:color w:val="000000"/>
              </w:rPr>
            </w:pPr>
            <w:r w:rsidDel="00000000" w:rsidR="00000000" w:rsidRPr="00000000">
              <w:rPr>
                <w:b w:val="1"/>
                <w:color w:val="000000"/>
                <w:sz w:val="22"/>
                <w:szCs w:val="22"/>
                <w:rtl w:val="0"/>
              </w:rPr>
              <w:t xml:space="preserve">Local Context: Issue and Challenges</w:t>
            </w:r>
            <w:r w:rsidDel="00000000" w:rsidR="00000000" w:rsidRPr="00000000">
              <w:rPr>
                <w:rtl w:val="0"/>
              </w:rPr>
            </w:r>
          </w:p>
        </w:tc>
      </w:tr>
      <w:tr>
        <w:trPr>
          <w:trHeight w:val="20" w:hRule="atLeast"/>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B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Government acceptance of integration/policy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4">
            <w:pP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1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6">
            <w:pPr>
              <w:rPr>
                <w:color w:val="000000"/>
              </w:rPr>
            </w:pPr>
            <w:r w:rsidDel="00000000" w:rsidR="00000000" w:rsidRPr="00000000">
              <w:rPr>
                <w:rtl w:val="0"/>
              </w:rPr>
            </w:r>
          </w:p>
        </w:tc>
      </w:tr>
      <w:tr>
        <w:trPr>
          <w:trHeight w:val="20" w:hRule="atLeast"/>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1B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B">
            <w:pPr>
              <w:rPr>
                <w:color w:val="000000"/>
              </w:rPr>
            </w:pPr>
            <w:r w:rsidDel="00000000" w:rsidR="00000000" w:rsidRPr="00000000">
              <w:rPr>
                <w:rtl w:val="0"/>
              </w:rPr>
            </w:r>
          </w:p>
        </w:tc>
      </w:tr>
      <w:tr>
        <w:trPr>
          <w:trHeight w:val="20" w:hRule="atLeast"/>
        </w:trPr>
        <w:tc>
          <w:tcPr>
            <w:vMerge w:val="restart"/>
            <w:tcBorders>
              <w:top w:color="000000" w:space="0" w:sz="8" w:val="single"/>
              <w:left w:color="000000" w:space="0" w:sz="8" w:val="single"/>
              <w:bottom w:color="000000" w:space="0" w:sz="8" w:val="single"/>
              <w:right w:color="000000" w:space="0" w:sz="4" w:val="single"/>
            </w:tcBorders>
            <w:shd w:fill="d9d9d9" w:val="clear"/>
            <w:vAlign w:val="center"/>
          </w:tcPr>
          <w:p w:rsidR="00000000" w:rsidDel="00000000" w:rsidP="00000000" w:rsidRDefault="00000000" w:rsidRPr="00000000" w14:paraId="000001B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Coordination mechanisms</w:t>
            </w:r>
          </w:p>
        </w:tc>
        <w:tc>
          <w:tcPr>
            <w:tcBorders>
              <w:top w:color="000000" w:space="0" w:sz="8" w:val="single"/>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1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8" w:val="single"/>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1B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shd w:fill="d9d9d9" w:val="clear"/>
            <w:vAlign w:val="bottom"/>
          </w:tcPr>
          <w:p w:rsidR="00000000" w:rsidDel="00000000" w:rsidP="00000000" w:rsidRDefault="00000000" w:rsidRPr="00000000" w14:paraId="000001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shd w:fill="d9d9d9" w:val="clear"/>
          </w:tcPr>
          <w:p w:rsidR="00000000" w:rsidDel="00000000" w:rsidP="00000000" w:rsidRDefault="00000000" w:rsidRPr="00000000" w14:paraId="000001C0">
            <w:pPr>
              <w:rPr>
                <w:color w:val="000000"/>
              </w:rPr>
            </w:pPr>
            <w:r w:rsidDel="00000000" w:rsidR="00000000" w:rsidRPr="00000000">
              <w:rPr>
                <w:rtl w:val="0"/>
              </w:rPr>
            </w:r>
          </w:p>
        </w:tc>
      </w:tr>
      <w:tr>
        <w:trPr>
          <w:trHeight w:val="20" w:hRule="atLeast"/>
        </w:trPr>
        <w:tc>
          <w:tcPr>
            <w:vMerge w:val="continue"/>
            <w:tcBorders>
              <w:top w:color="000000" w:space="0" w:sz="8" w:val="single"/>
              <w:left w:color="000000" w:space="0" w:sz="8" w:val="single"/>
              <w:bottom w:color="000000" w:space="0" w:sz="8" w:val="single"/>
              <w:right w:color="000000" w:space="0" w:sz="4" w:val="single"/>
            </w:tcBorders>
            <w:shd w:fill="d9d9d9" w:val="clear"/>
            <w:vAlign w:val="center"/>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d9d9d9" w:val="clear"/>
            <w:vAlign w:val="bottom"/>
          </w:tcPr>
          <w:p w:rsidR="00000000" w:rsidDel="00000000" w:rsidP="00000000" w:rsidRDefault="00000000" w:rsidRPr="00000000" w14:paraId="000001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0" w:val="nil"/>
              <w:left w:color="000000" w:space="0" w:sz="0" w:val="nil"/>
              <w:bottom w:color="000000" w:space="0" w:sz="0" w:val="nil"/>
              <w:right w:color="000000" w:space="0" w:sz="4" w:val="single"/>
            </w:tcBorders>
            <w:shd w:fill="d9d9d9" w:val="clear"/>
            <w:vAlign w:val="bottom"/>
          </w:tcPr>
          <w:p w:rsidR="00000000" w:rsidDel="00000000" w:rsidP="00000000" w:rsidRDefault="00000000" w:rsidRPr="00000000" w14:paraId="000001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8" w:val="single"/>
            </w:tcBorders>
            <w:shd w:fill="d9d9d9" w:val="clear"/>
            <w:vAlign w:val="bottom"/>
          </w:tcPr>
          <w:p w:rsidR="00000000" w:rsidDel="00000000" w:rsidP="00000000" w:rsidRDefault="00000000" w:rsidRPr="00000000" w14:paraId="000001C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8" w:val="single"/>
            </w:tcBorders>
            <w:shd w:fill="d9d9d9" w:val="clear"/>
          </w:tcPr>
          <w:p w:rsidR="00000000" w:rsidDel="00000000" w:rsidP="00000000" w:rsidRDefault="00000000" w:rsidRPr="00000000" w14:paraId="000001C5">
            <w:pPr>
              <w:rPr>
                <w:color w:val="000000"/>
              </w:rPr>
            </w:pPr>
            <w:r w:rsidDel="00000000" w:rsidR="00000000" w:rsidRPr="00000000">
              <w:rPr>
                <w:rtl w:val="0"/>
              </w:rPr>
            </w:r>
          </w:p>
        </w:tc>
      </w:tr>
      <w:tr>
        <w:trPr>
          <w:trHeight w:val="20" w:hRule="atLeast"/>
        </w:trPr>
        <w:tc>
          <w:tcPr>
            <w:vMerge w:val="restart"/>
            <w:tcBorders>
              <w:top w:color="000000" w:space="0" w:sz="0" w:val="nil"/>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1C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Financing/funding sources</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8"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1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1CA">
            <w:pPr>
              <w:rPr>
                <w:color w:val="000000"/>
              </w:rPr>
            </w:pPr>
            <w:r w:rsidDel="00000000" w:rsidR="00000000" w:rsidRPr="00000000">
              <w:rPr>
                <w:rtl w:val="0"/>
              </w:rPr>
            </w:r>
          </w:p>
        </w:tc>
      </w:tr>
      <w:tr>
        <w:trPr>
          <w:trHeight w:val="20" w:hRule="atLeast"/>
        </w:trPr>
        <w:tc>
          <w:tcPr>
            <w:vMerge w:val="continue"/>
            <w:tcBorders>
              <w:top w:color="000000" w:space="0" w:sz="0" w:val="nil"/>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1CF">
            <w:pPr>
              <w:rPr>
                <w:color w:val="000000"/>
              </w:rPr>
            </w:pPr>
            <w:r w:rsidDel="00000000" w:rsidR="00000000" w:rsidRPr="00000000">
              <w:rPr>
                <w:rtl w:val="0"/>
              </w:rPr>
            </w:r>
          </w:p>
        </w:tc>
      </w:tr>
      <w:tr>
        <w:trPr>
          <w:trHeight w:val="20" w:hRule="atLeast"/>
        </w:trPr>
        <w:tc>
          <w:tcPr>
            <w:vMerge w:val="restart"/>
            <w:tcBorders>
              <w:top w:color="000000" w:space="0" w:sz="8" w:val="single"/>
              <w:left w:color="000000" w:space="0" w:sz="8" w:val="single"/>
              <w:bottom w:color="000000" w:space="0" w:sz="8" w:val="single"/>
              <w:right w:color="000000" w:space="0" w:sz="4" w:val="single"/>
            </w:tcBorders>
            <w:shd w:fill="d9d9d9" w:val="clear"/>
            <w:vAlign w:val="center"/>
          </w:tcPr>
          <w:p w:rsidR="00000000" w:rsidDel="00000000" w:rsidP="00000000" w:rsidRDefault="00000000" w:rsidRPr="00000000" w14:paraId="000001D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Partner/donor support</w:t>
            </w:r>
          </w:p>
        </w:tc>
        <w:tc>
          <w:tcPr>
            <w:tcBorders>
              <w:top w:color="000000" w:space="0" w:sz="8" w:val="single"/>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1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8" w:val="single"/>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1D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shd w:fill="d9d9d9" w:val="clear"/>
            <w:vAlign w:val="bottom"/>
          </w:tcPr>
          <w:p w:rsidR="00000000" w:rsidDel="00000000" w:rsidP="00000000" w:rsidRDefault="00000000" w:rsidRPr="00000000" w14:paraId="000001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shd w:fill="d9d9d9" w:val="clear"/>
          </w:tcPr>
          <w:p w:rsidR="00000000" w:rsidDel="00000000" w:rsidP="00000000" w:rsidRDefault="00000000" w:rsidRPr="00000000" w14:paraId="000001D4">
            <w:pPr>
              <w:rPr>
                <w:color w:val="000000"/>
              </w:rPr>
            </w:pPr>
            <w:r w:rsidDel="00000000" w:rsidR="00000000" w:rsidRPr="00000000">
              <w:rPr>
                <w:rtl w:val="0"/>
              </w:rPr>
            </w:r>
          </w:p>
        </w:tc>
      </w:tr>
      <w:tr>
        <w:trPr>
          <w:trHeight w:val="20" w:hRule="atLeast"/>
        </w:trPr>
        <w:tc>
          <w:tcPr>
            <w:vMerge w:val="continue"/>
            <w:tcBorders>
              <w:top w:color="000000" w:space="0" w:sz="8" w:val="single"/>
              <w:left w:color="000000" w:space="0" w:sz="8" w:val="single"/>
              <w:bottom w:color="000000" w:space="0" w:sz="8" w:val="single"/>
              <w:right w:color="000000" w:space="0" w:sz="4" w:val="single"/>
            </w:tcBorders>
            <w:shd w:fill="d9d9d9" w:val="clear"/>
            <w:vAlign w:val="center"/>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9d9d9" w:val="clear"/>
            <w:vAlign w:val="bottom"/>
          </w:tcPr>
          <w:p w:rsidR="00000000" w:rsidDel="00000000" w:rsidP="00000000" w:rsidRDefault="00000000" w:rsidRPr="00000000" w14:paraId="000001D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0" w:val="nil"/>
              <w:left w:color="000000" w:space="0" w:sz="0" w:val="nil"/>
              <w:bottom w:color="000000" w:space="0" w:sz="8" w:val="single"/>
              <w:right w:color="000000" w:space="0" w:sz="4" w:val="single"/>
            </w:tcBorders>
            <w:shd w:fill="d9d9d9" w:val="clear"/>
            <w:vAlign w:val="bottom"/>
          </w:tcPr>
          <w:p w:rsidR="00000000" w:rsidDel="00000000" w:rsidP="00000000" w:rsidRDefault="00000000" w:rsidRPr="00000000" w14:paraId="000001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1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d9d9d9" w:val="clear"/>
          </w:tcPr>
          <w:p w:rsidR="00000000" w:rsidDel="00000000" w:rsidP="00000000" w:rsidRDefault="00000000" w:rsidRPr="00000000" w14:paraId="000001D9">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A">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Timing/intervals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4">
            <w:pPr>
              <w:rPr>
                <w:rFonts w:ascii="Calibri" w:cs="Calibri" w:eastAsia="Calibri" w:hAnsi="Calibri"/>
                <w:b w:val="1"/>
                <w:color w:val="ff0000"/>
                <w:sz w:val="22"/>
                <w:szCs w:val="22"/>
              </w:rPr>
            </w:pPr>
            <w:r w:rsidDel="00000000" w:rsidR="00000000" w:rsidRPr="00000000">
              <w:rPr>
                <w:rFonts w:ascii="Calibri" w:cs="Calibri" w:eastAsia="Calibri" w:hAnsi="Calibri"/>
                <w:b w:val="1"/>
                <w:color w:val="000000"/>
                <w:sz w:val="22"/>
                <w:szCs w:val="22"/>
                <w:rtl w:val="0"/>
              </w:rPr>
              <w:t xml:space="preserve">Household registration or target population census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E6">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E7">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8">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E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EB">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EC">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D">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Procurement complexity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1F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Supply chain</w:t>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1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1F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1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FC">
            <w:pPr>
              <w:rPr>
                <w:color w:val="000000"/>
              </w:rPr>
            </w:pPr>
            <w:r w:rsidDel="00000000" w:rsidR="00000000" w:rsidRPr="00000000">
              <w:rPr>
                <w:rtl w:val="0"/>
              </w:rPr>
            </w:r>
          </w:p>
        </w:tc>
      </w:tr>
      <w:tr>
        <w:trPr>
          <w:trHeight w:val="465" w:hRule="atLeast"/>
        </w:trPr>
        <w:tc>
          <w:tcPr>
            <w:vMerge w:val="continue"/>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1F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1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20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201">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Logistics/transportation</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6">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B">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20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Waste Management</w:t>
            </w:r>
          </w:p>
          <w:p w:rsidR="00000000" w:rsidDel="00000000" w:rsidP="00000000" w:rsidRDefault="00000000" w:rsidRPr="00000000" w14:paraId="0000020D">
            <w:pPr>
              <w:rPr>
                <w:rFonts w:ascii="Calibri" w:cs="Calibri" w:eastAsia="Calibri" w:hAnsi="Calibri"/>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20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20F">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210">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211">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2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214">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215">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216">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Acceptance &amp; Incentives </w:t>
            </w:r>
            <w:r w:rsidDel="00000000" w:rsidR="00000000" w:rsidRPr="00000000">
              <w:rPr>
                <w:rFonts w:ascii="Calibri" w:cs="Calibri" w:eastAsia="Calibri" w:hAnsi="Calibri"/>
                <w:color w:val="000000"/>
                <w:sz w:val="22"/>
                <w:szCs w:val="22"/>
                <w:rtl w:val="0"/>
              </w:rPr>
              <w:t xml:space="preserve">(Health workers, Community/Population, stakeholders)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2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Monitoring Post Campaign Adverse Events</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2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23">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24">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5">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28">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29">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A">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Monitoring, Evaluation &amp; Surveillance Capacity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Age range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3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37">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38">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9">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3C">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23D">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E">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F">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Seasonality </w:t>
            </w:r>
            <w:r w:rsidDel="00000000" w:rsidR="00000000" w:rsidRPr="00000000">
              <w:rPr>
                <w:rFonts w:ascii="Calibri" w:cs="Calibri" w:eastAsia="Calibri" w:hAnsi="Calibri"/>
                <w:color w:val="000000"/>
                <w:sz w:val="22"/>
                <w:szCs w:val="22"/>
                <w:rtl w:val="0"/>
              </w:rPr>
              <w:t xml:space="preserve">(e.g. disease peaks, transmission, weather conditions/climate)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1">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2">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6">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7">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Intervention complexity </w:t>
            </w:r>
            <w:r w:rsidDel="00000000" w:rsidR="00000000" w:rsidRPr="00000000">
              <w:rPr>
                <w:rFonts w:ascii="Calibri" w:cs="Calibri" w:eastAsia="Calibri" w:hAnsi="Calibri"/>
                <w:color w:val="000000"/>
                <w:sz w:val="22"/>
                <w:szCs w:val="22"/>
                <w:rtl w:val="0"/>
              </w:rPr>
              <w:t xml:space="preserve">(e.g, injectable vs oral vaccine, cold chain, directly observed therapy</w:t>
            </w:r>
            <w:r w:rsidDel="00000000" w:rsidR="00000000" w:rsidRPr="00000000">
              <w:rPr>
                <w:rFonts w:ascii="Calibri" w:cs="Calibri" w:eastAsia="Calibri" w:hAnsi="Calibri"/>
                <w:b w:val="1"/>
                <w:color w:val="000000"/>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B">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C">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D">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0">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1">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2">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3">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Point/place of delivery (</w:t>
            </w:r>
            <w:r w:rsidDel="00000000" w:rsidR="00000000" w:rsidRPr="00000000">
              <w:rPr>
                <w:rFonts w:ascii="Calibri" w:cs="Calibri" w:eastAsia="Calibri" w:hAnsi="Calibri"/>
                <w:color w:val="000000"/>
                <w:sz w:val="22"/>
                <w:szCs w:val="22"/>
                <w:rtl w:val="0"/>
              </w:rPr>
              <w:t xml:space="preserve">e.g. fixed post - permanent and/or temporary, mobile post, fixed or mobile post with house to house canvassing,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5">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6">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B">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color w:val="000000"/>
              </w:rPr>
            </w:pPr>
            <w:r w:rsidDel="00000000" w:rsidR="00000000" w:rsidRPr="00000000">
              <w:rPr>
                <w:rtl w:val="0"/>
              </w:rPr>
            </w:r>
          </w:p>
        </w:tc>
      </w:tr>
      <w:tr>
        <w:trPr>
          <w:trHeight w:val="20" w:hRule="atLeast"/>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Duration at delivery site and district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F">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0">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1">
            <w:pPr>
              <w:rPr>
                <w:color w:val="000000"/>
              </w:rPr>
            </w:pPr>
            <w:r w:rsidDel="00000000" w:rsidR="00000000" w:rsidRPr="00000000">
              <w:rPr>
                <w:rtl w:val="0"/>
              </w:rPr>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Intervention 2</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4">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5">
            <w:pP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6">
            <w:pPr>
              <w:rPr>
                <w:color w:val="000000"/>
              </w:rPr>
            </w:pPr>
            <w:r w:rsidDel="00000000" w:rsidR="00000000" w:rsidRPr="00000000">
              <w:rPr>
                <w:rtl w:val="0"/>
              </w:rPr>
            </w:r>
          </w:p>
        </w:tc>
      </w:tr>
    </w:tbl>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6B">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0" w:before="0" w:line="240" w:lineRule="auto"/>
        <w:ind w:left="864" w:right="864" w:firstLine="0"/>
        <w:jc w:val="center"/>
        <w:rPr>
          <w:rFonts w:ascii="Times New Roman" w:cs="Times New Roman" w:eastAsia="Times New Roman" w:hAnsi="Times New Roman"/>
          <w:b w:val="1"/>
          <w:i w:val="0"/>
          <w:smallCaps w:val="0"/>
          <w:strike w:val="0"/>
          <w:color w:val="4472c4"/>
          <w:sz w:val="22"/>
          <w:szCs w:val="22"/>
          <w:u w:val="none"/>
          <w:shd w:fill="auto" w:val="clear"/>
          <w:vertAlign w:val="baseline"/>
        </w:rPr>
      </w:pPr>
      <w:bookmarkStart w:colFirst="0" w:colLast="0" w:name="_heading=h.2bn6wsx" w:id="17"/>
      <w:bookmarkEnd w:id="17"/>
      <w:r w:rsidDel="00000000" w:rsidR="00000000" w:rsidRPr="00000000">
        <w:rPr>
          <w:rFonts w:ascii="Calibri" w:cs="Calibri" w:eastAsia="Calibri" w:hAnsi="Calibri"/>
          <w:b w:val="1"/>
          <w:i w:val="0"/>
          <w:smallCaps w:val="0"/>
          <w:strike w:val="0"/>
          <w:color w:val="4472c4"/>
          <w:sz w:val="32"/>
          <w:szCs w:val="32"/>
          <w:u w:val="none"/>
          <w:shd w:fill="auto" w:val="clear"/>
          <w:vertAlign w:val="baseline"/>
          <w:rtl w:val="0"/>
        </w:rPr>
        <w:t xml:space="preserve">Step 3b:</w:t>
      </w:r>
      <w:r w:rsidDel="00000000" w:rsidR="00000000" w:rsidRPr="00000000">
        <w:rPr>
          <w:rFonts w:ascii="Calibri" w:cs="Calibri" w:eastAsia="Calibri" w:hAnsi="Calibri"/>
          <w:b w:val="1"/>
          <w:i w:val="0"/>
          <w:smallCaps w:val="0"/>
          <w:strike w:val="0"/>
          <w:color w:val="4472c4"/>
          <w:sz w:val="22"/>
          <w:szCs w:val="22"/>
          <w:u w:val="none"/>
          <w:shd w:fill="auto" w:val="clear"/>
          <w:vertAlign w:val="baseline"/>
          <w:rtl w:val="0"/>
        </w:rPr>
        <w:t xml:space="preserve"> Customize According to Global, Country, and/or Local Context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This tool depicts detailed technical and operational criteria and best practices involved in integration. While the table incorporates the latest global guidance and experience available when this tool was developed (see References), the list of criteria to consider is not exhaustive and should be modified to the country context and updated as needed.  </w:t>
      </w:r>
      <w:r w:rsidDel="00000000" w:rsidR="00000000" w:rsidRPr="00000000">
        <w:rPr>
          <w:rtl w:val="0"/>
        </w:rPr>
      </w:r>
    </w:p>
    <w:p w:rsidR="00000000" w:rsidDel="00000000" w:rsidP="00000000" w:rsidRDefault="00000000" w:rsidRPr="00000000" w14:paraId="0000026C">
      <w:pPr>
        <w:pStyle w:val="Heading1"/>
        <w:jc w:val="center"/>
        <w:rPr>
          <w:rFonts w:ascii="Calibri" w:cs="Calibri" w:eastAsia="Calibri" w:hAnsi="Calibri"/>
          <w:b w:val="1"/>
          <w:color w:val="000000"/>
        </w:rPr>
      </w:pPr>
      <w:bookmarkStart w:colFirst="0" w:colLast="0" w:name="_heading=h.qsh70q" w:id="18"/>
      <w:bookmarkEnd w:id="18"/>
      <w:r w:rsidDel="00000000" w:rsidR="00000000" w:rsidRPr="00000000">
        <w:rPr>
          <w:rFonts w:ascii="Calibri" w:cs="Calibri" w:eastAsia="Calibri" w:hAnsi="Calibri"/>
          <w:b w:val="1"/>
          <w:color w:val="000000"/>
          <w:rtl w:val="0"/>
        </w:rPr>
        <w:t xml:space="preserve">Appendix B: Criteria across Health Domains and Specific Interventions for Selecting Potential Campaign Integration</w:t>
      </w:r>
    </w:p>
    <w:p w:rsidR="00000000" w:rsidDel="00000000" w:rsidP="00000000" w:rsidRDefault="00000000" w:rsidRPr="00000000" w14:paraId="0000026D">
      <w:pPr>
        <w:rPr>
          <w:i w:val="1"/>
        </w:rPr>
      </w:pPr>
      <w:r w:rsidDel="00000000" w:rsidR="00000000" w:rsidRPr="00000000">
        <w:rPr>
          <w:i w:val="1"/>
          <w:highlight w:val="yellow"/>
          <w:rtl w:val="0"/>
        </w:rPr>
        <w:t xml:space="preserve">(Blank cells are in need of specific information and references. </w:t>
      </w:r>
      <w:r w:rsidDel="00000000" w:rsidR="00000000" w:rsidRPr="00000000">
        <w:rPr>
          <w:i w:val="1"/>
          <w:rtl w:val="0"/>
        </w:rPr>
        <w:t xml:space="preserve">Please see list of references at the end.)</w:t>
      </w:r>
    </w:p>
    <w:tbl>
      <w:tblPr>
        <w:tblStyle w:val="Table6"/>
        <w:tblW w:w="18930.0" w:type="dxa"/>
        <w:jc w:val="left"/>
        <w:tblInd w:w="-4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2370"/>
        <w:gridCol w:w="990"/>
        <w:gridCol w:w="3240"/>
        <w:gridCol w:w="1440"/>
        <w:gridCol w:w="2610"/>
        <w:gridCol w:w="1530"/>
        <w:gridCol w:w="2610"/>
        <w:gridCol w:w="22"/>
        <w:gridCol w:w="1148"/>
        <w:gridCol w:w="2944"/>
        <w:gridCol w:w="26"/>
        <w:tblGridChange w:id="0">
          <w:tblGrid>
            <w:gridCol w:w="2370"/>
            <w:gridCol w:w="990"/>
            <w:gridCol w:w="3240"/>
            <w:gridCol w:w="1440"/>
            <w:gridCol w:w="2610"/>
            <w:gridCol w:w="1530"/>
            <w:gridCol w:w="2610"/>
            <w:gridCol w:w="22"/>
            <w:gridCol w:w="1148"/>
            <w:gridCol w:w="2944"/>
            <w:gridCol w:w="26"/>
          </w:tblGrid>
        </w:tblGridChange>
      </w:tblGrid>
      <w:tr>
        <w:trPr>
          <w:trHeight w:val="364" w:hRule="atLeast"/>
        </w:trPr>
        <w:tc>
          <w:tcPr>
            <w:tcBorders>
              <w:top w:color="000000" w:space="0" w:sz="12" w:val="single"/>
              <w:left w:color="000000" w:space="0" w:sz="12" w:val="single"/>
              <w:bottom w:color="000000" w:space="0" w:sz="0" w:val="nil"/>
              <w:right w:color="000000" w:space="0" w:sz="0" w:val="nil"/>
            </w:tcBorders>
            <w:shd w:fill="d9e2f3" w:val="clear"/>
            <w:tcMar>
              <w:top w:w="29.0" w:type="dxa"/>
              <w:left w:w="29.0" w:type="dxa"/>
              <w:bottom w:w="29.0" w:type="dxa"/>
              <w:right w:w="29.0" w:type="dxa"/>
            </w:tcMar>
            <w:vAlign w:val="center"/>
          </w:tcPr>
          <w:p w:rsidR="00000000" w:rsidDel="00000000" w:rsidP="00000000" w:rsidRDefault="00000000" w:rsidRPr="00000000" w14:paraId="0000026E">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Campaign Criteria</w:t>
            </w:r>
          </w:p>
        </w:tc>
        <w:tc>
          <w:tcPr>
            <w:gridSpan w:val="2"/>
            <w:tcBorders>
              <w:top w:color="000000" w:space="0" w:sz="12" w:val="single"/>
              <w:left w:color="000000" w:space="0" w:sz="12" w:val="single"/>
              <w:bottom w:color="000000" w:space="0" w:sz="12" w:val="single"/>
              <w:right w:color="000000" w:space="0" w:sz="12" w:val="single"/>
            </w:tcBorders>
            <w:shd w:fill="d9e2f3" w:val="clear"/>
            <w:tcMar>
              <w:top w:w="29.0" w:type="dxa"/>
              <w:left w:w="29.0" w:type="dxa"/>
              <w:bottom w:w="29.0" w:type="dxa"/>
              <w:right w:w="29.0" w:type="dxa"/>
            </w:tcMar>
            <w:vAlign w:val="center"/>
          </w:tcPr>
          <w:p w:rsidR="00000000" w:rsidDel="00000000" w:rsidP="00000000" w:rsidRDefault="00000000" w:rsidRPr="00000000" w14:paraId="0000026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Immunizations</w:t>
            </w:r>
          </w:p>
        </w:tc>
        <w:tc>
          <w:tcPr>
            <w:gridSpan w:val="2"/>
            <w:tcBorders>
              <w:top w:color="000000" w:space="0" w:sz="12" w:val="single"/>
              <w:left w:color="000000" w:space="0" w:sz="12" w:val="single"/>
              <w:bottom w:color="000000" w:space="0" w:sz="12" w:val="single"/>
              <w:right w:color="000000" w:space="0" w:sz="12" w:val="single"/>
            </w:tcBorders>
            <w:shd w:fill="d9e2f3" w:val="clear"/>
            <w:tcMar>
              <w:top w:w="29.0" w:type="dxa"/>
              <w:left w:w="29.0" w:type="dxa"/>
              <w:bottom w:w="29.0" w:type="dxa"/>
              <w:right w:w="29.0" w:type="dxa"/>
            </w:tcMar>
            <w:vAlign w:val="center"/>
          </w:tcPr>
          <w:p w:rsidR="00000000" w:rsidDel="00000000" w:rsidP="00000000" w:rsidRDefault="00000000" w:rsidRPr="00000000" w14:paraId="0000027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Malaria</w:t>
            </w:r>
          </w:p>
        </w:tc>
        <w:tc>
          <w:tcPr>
            <w:gridSpan w:val="2"/>
            <w:tcBorders>
              <w:top w:color="000000" w:space="0" w:sz="12" w:val="single"/>
              <w:left w:color="000000" w:space="0" w:sz="12" w:val="single"/>
              <w:bottom w:color="000000" w:space="0" w:sz="0" w:val="nil"/>
              <w:right w:color="000000" w:space="0" w:sz="4" w:val="single"/>
            </w:tcBorders>
            <w:shd w:fill="d9e2f3" w:val="clear"/>
            <w:tcMar>
              <w:top w:w="29.0" w:type="dxa"/>
              <w:left w:w="29.0" w:type="dxa"/>
              <w:bottom w:w="29.0" w:type="dxa"/>
              <w:right w:w="29.0" w:type="dxa"/>
            </w:tcMar>
            <w:vAlign w:val="center"/>
          </w:tcPr>
          <w:p w:rsidR="00000000" w:rsidDel="00000000" w:rsidP="00000000" w:rsidRDefault="00000000" w:rsidRPr="00000000" w14:paraId="0000027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Neglected Tropical Diseases</w:t>
            </w:r>
          </w:p>
        </w:tc>
        <w:tc>
          <w:tcPr>
            <w:gridSpan w:val="4"/>
            <w:tcBorders>
              <w:top w:color="000000" w:space="0" w:sz="4" w:val="single"/>
              <w:left w:color="000000" w:space="0" w:sz="4" w:val="single"/>
              <w:bottom w:color="000000" w:space="0" w:sz="4" w:val="single"/>
              <w:right w:color="000000" w:space="0" w:sz="4" w:val="single"/>
            </w:tcBorders>
            <w:shd w:fill="d9e2f3" w:val="clear"/>
            <w:tcMar>
              <w:top w:w="29.0" w:type="dxa"/>
              <w:left w:w="29.0" w:type="dxa"/>
              <w:bottom w:w="29.0" w:type="dxa"/>
              <w:right w:w="29.0" w:type="dxa"/>
            </w:tcMar>
            <w:vAlign w:val="center"/>
          </w:tcPr>
          <w:p w:rsidR="00000000" w:rsidDel="00000000" w:rsidP="00000000" w:rsidRDefault="00000000" w:rsidRPr="00000000" w14:paraId="0000027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Nutrition</w:t>
            </w:r>
          </w:p>
        </w:tc>
      </w:tr>
      <w:tr>
        <w:trPr>
          <w:trHeight w:val="295" w:hRule="atLeast"/>
        </w:trPr>
        <w:tc>
          <w:tcPr>
            <w:vMerge w:val="restart"/>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7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Coverage objectives per WHO</w:t>
            </w:r>
          </w:p>
          <w:p w:rsidR="00000000" w:rsidDel="00000000" w:rsidP="00000000" w:rsidRDefault="00000000" w:rsidRPr="00000000" w14:paraId="0000027A">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27B">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Global partner dialogue facilitation (e.g., HCE Coalition, WHO)</w:t>
            </w:r>
          </w:p>
          <w:p w:rsidR="00000000" w:rsidDel="00000000" w:rsidP="00000000" w:rsidRDefault="00000000" w:rsidRPr="00000000" w14:paraId="0000027C">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18"/>
                <w:szCs w:val="18"/>
                <w:rtl w:val="0"/>
              </w:rPr>
              <w:t xml:space="preserve">Global policy &amp; operational guidance</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7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7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High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95%) immunization coverage two doses</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27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28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80% for both ITN ownership and use, targeting universal coverage, or one for ITN for every two household members regardless of age.</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8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LYMPHATIC FILARIASIS</w:t>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8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&gt;65% of the entire population.</w:t>
            </w:r>
            <w:r w:rsidDel="00000000" w:rsidR="00000000" w:rsidRPr="00000000">
              <w:rPr>
                <w:rFonts w:ascii="Calibri" w:cs="Calibri" w:eastAsia="Calibri" w:hAnsi="Calibri"/>
                <w:color w:val="000000"/>
                <w:sz w:val="20"/>
                <w:szCs w:val="20"/>
                <w:vertAlign w:val="superscript"/>
                <w:rtl w:val="0"/>
              </w:rPr>
              <w:t xml:space="preserve">3</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283">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28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VITAMIN A</w:t>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28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Effective coverage of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80% as threshold to improve child survival</w:t>
            </w:r>
            <w:r w:rsidDel="00000000" w:rsidR="00000000" w:rsidRPr="00000000">
              <w:rPr>
                <w:rFonts w:ascii="Calibri" w:cs="Calibri" w:eastAsia="Calibri" w:hAnsi="Calibri"/>
                <w:color w:val="000000"/>
                <w:sz w:val="20"/>
                <w:szCs w:val="20"/>
                <w:vertAlign w:val="superscript"/>
                <w:rtl w:val="0"/>
              </w:rPr>
              <w:t xml:space="preserve">4</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0"/>
                <w:szCs w:val="20"/>
                <w:vertAlign w:val="superscript"/>
                <w:rtl w:val="0"/>
              </w:rPr>
              <w:t xml:space="preserve">5</w:t>
            </w: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8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89">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8A">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8B">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8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ONCHOCERCIASIS</w:t>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8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80% therapeutic coverage (population eligible for treatment)</w:t>
            </w:r>
            <w:r w:rsidDel="00000000" w:rsidR="00000000" w:rsidRPr="00000000">
              <w:rPr>
                <w:rFonts w:ascii="Calibri" w:cs="Calibri" w:eastAsia="Calibri" w:hAnsi="Calibri"/>
                <w:color w:val="000000"/>
                <w:sz w:val="20"/>
                <w:szCs w:val="20"/>
                <w:vertAlign w:val="superscript"/>
                <w:rtl w:val="0"/>
              </w:rPr>
              <w:t xml:space="preserve">6</w:t>
            </w:r>
            <w:r w:rsidDel="00000000" w:rsidR="00000000" w:rsidRPr="00000000">
              <w:rPr>
                <w:rtl w:val="0"/>
              </w:rPr>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28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MALNUTRITION</w:t>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290">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9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9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High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95%) immunization coverage two doses</w:t>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29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9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&gt;95% of eligible children receive sulfadoxine-pyrimethamine + amodiaquine at monthly intervals during period of highest malaria risk.  Countries may distribute sulfadoxine-pyrimethamine + amodiaquine at between two and 5 monthly intervals depending on their stratification maps and criteria used.</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9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SCHISTOSOMIASIS</w:t>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9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75% school-aged children and adults in high risk communities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9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High (&gt; 95%) vaccination coverage?</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29E">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A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A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Global target: by 2020, treat at least 75% of children in countries endemic for soil-transmitted helminthiases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2A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ffffff" w:val="clear"/>
            <w:tcMar>
              <w:top w:w="29.0" w:type="dxa"/>
              <w:left w:w="29.0" w:type="dxa"/>
              <w:bottom w:w="29.0" w:type="dxa"/>
              <w:right w:w="29.0" w:type="dxa"/>
            </w:tcMar>
          </w:tcPr>
          <w:p w:rsidR="00000000" w:rsidDel="00000000" w:rsidP="00000000" w:rsidRDefault="00000000" w:rsidRPr="00000000" w14:paraId="000002A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&gt;80% with a 60-80% security threshold, to interrupt local transmission; one dose confers lifetime immunity </w:t>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2A8">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2A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TRACHOMA</w:t>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2A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80% of the entire population</w:t>
            </w:r>
            <w:r w:rsidDel="00000000" w:rsidR="00000000" w:rsidRPr="00000000">
              <w:rPr>
                <w:rFonts w:ascii="Calibri" w:cs="Calibri" w:eastAsia="Calibri" w:hAnsi="Calibri"/>
                <w:color w:val="000000"/>
                <w:sz w:val="20"/>
                <w:szCs w:val="20"/>
                <w:vertAlign w:val="superscript"/>
                <w:rtl w:val="0"/>
              </w:rPr>
              <w:t xml:space="preserve">7</w:t>
            </w:r>
            <w:r w:rsidDel="00000000" w:rsidR="00000000" w:rsidRPr="00000000">
              <w:rPr>
                <w:rtl w:val="0"/>
              </w:rPr>
            </w:r>
          </w:p>
          <w:p w:rsidR="00000000" w:rsidDel="00000000" w:rsidP="00000000" w:rsidRDefault="00000000" w:rsidRPr="00000000" w14:paraId="000002AC">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2B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Seasonality of disease</w:t>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B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B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seasonal pattern in tropical climates; national immunization days are best during cool, dry seasons when circulation lowest and higher seroconversion occurs.</w:t>
            </w:r>
          </w:p>
        </w:tc>
        <w:tc>
          <w:tcPr>
            <w:vMerge w:val="restart"/>
            <w:tcBorders>
              <w:top w:color="000000" w:space="0" w:sz="12"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B3">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p w:rsidR="00000000" w:rsidDel="00000000" w:rsidP="00000000" w:rsidRDefault="00000000" w:rsidRPr="00000000" w14:paraId="000002B4">
            <w:pPr>
              <w:rPr>
                <w:rFonts w:ascii="Calibri" w:cs="Calibri" w:eastAsia="Calibri" w:hAnsi="Calibri"/>
                <w:b w:val="1"/>
                <w:color w:val="000000"/>
                <w:sz w:val="16"/>
                <w:szCs w:val="16"/>
              </w:rPr>
            </w:pPr>
            <w:r w:rsidDel="00000000" w:rsidR="00000000" w:rsidRPr="00000000">
              <w:rPr>
                <w:rtl w:val="0"/>
              </w:rPr>
            </w:r>
          </w:p>
        </w:tc>
        <w:tc>
          <w:tcPr>
            <w:vMerge w:val="restart"/>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B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Peak during and after rainy season</w:t>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B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B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Transmission may be seasonal (i.e., associated with rainfall), but infection and disease are chronic.</w:t>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B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B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seasonal pattern observed, seasonal data is not available</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B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BD">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C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C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Transmission may be seasonal</w:t>
            </w:r>
            <w:r w:rsidDel="00000000" w:rsidR="00000000" w:rsidRPr="00000000">
              <w:rPr>
                <w:rFonts w:ascii="Calibri" w:cs="Calibri" w:eastAsia="Calibri" w:hAnsi="Calibri"/>
                <w:color w:val="000000"/>
                <w:sz w:val="20"/>
                <w:szCs w:val="20"/>
                <w:vertAlign w:val="superscript"/>
                <w:rtl w:val="0"/>
              </w:rPr>
              <w:t xml:space="preserve">6</w:t>
            </w:r>
            <w:r w:rsidDel="00000000" w:rsidR="00000000" w:rsidRPr="00000000">
              <w:rPr>
                <w:rFonts w:ascii="Calibri" w:cs="Calibri" w:eastAsia="Calibri" w:hAnsi="Calibri"/>
                <w:color w:val="000000"/>
                <w:sz w:val="20"/>
                <w:szCs w:val="20"/>
                <w:rtl w:val="0"/>
              </w:rPr>
              <w:t xml:space="preserve"> (i.e., associated with rainfall), but infection and disease are chronic.</w:t>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C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C4">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C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After rainy season in tropical climates; late winter and early spring in temperate climates</w:t>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C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C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Peak during and after rainy season in Sahel sub-region.</w:t>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C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C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Transmission may be seasonal (i.e., associated with rainfall), but infection and disease are chronic.  </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D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D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After the rainy season in tropical climates, the end of winter and the beginning of spring in temperate climates</w:t>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D2">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D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D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Transmission may be seasonal (i.e., associated with rainfall), but infection and disease are chronic.</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D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D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Highest risk West Africa: during end of rainy season, start of dry season  (July-October); South America highest rainy season (January-May)</w:t>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DC">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2D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2D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Transmission is more common during dry seasons.</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E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Timing of campaign</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E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E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 days to a week during cool, dry season</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2E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2E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Ideally soon before the rainy season</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E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E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in the rainy season.</w:t>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2E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2E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Biannual distribution, Child health weeks</w:t>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E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EF">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F0">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F1">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F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F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in the rainy season.</w:t>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2F5">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2F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available</w:t>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F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F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4-7 days to one month, including a weekend, during low transmission season, local events &amp; festivals, avoiding rainy seasons</w:t>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2F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tcBorders>
              <w:top w:color="000000" w:space="0" w:sz="6"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2F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Monthly intervals during the high transmission season</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2F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2F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Typically when school is in session.  </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0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0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4-7 days to a month, including a weekend, during low transmission season, local events and festivals, avoiding rainy seasons</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304">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305">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0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0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Typically when school is in session</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0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0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available</w:t>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0E">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0F">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1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1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in the rainy season.</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0" w:val="nil"/>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1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Contraindications of Medicines</w:t>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1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0" w:val="nil"/>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17">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18">
            <w:pPr>
              <w:rPr>
                <w:rFonts w:ascii="Calibri" w:cs="Calibri" w:eastAsia="Calibri" w:hAnsi="Calibri"/>
                <w:b w:val="1"/>
                <w:color w:val="000000"/>
                <w:sz w:val="16"/>
                <w:szCs w:val="16"/>
              </w:rPr>
            </w:pPr>
            <w:r w:rsidDel="00000000" w:rsidR="00000000" w:rsidRPr="00000000">
              <w:rPr>
                <w:rtl w:val="0"/>
              </w:rPr>
            </w:r>
          </w:p>
        </w:tc>
        <w:tc>
          <w:tcPr>
            <w:tcBorders>
              <w:top w:color="000000" w:space="0" w:sz="12" w:val="single"/>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19">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1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1B">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1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1E">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0" w:val="nil"/>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2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21">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2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0" w:val="nil"/>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23">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2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25">
            <w:pPr>
              <w:rPr>
                <w:rFonts w:ascii="Calibri" w:cs="Calibri" w:eastAsia="Calibri" w:hAnsi="Calibri"/>
                <w:color w:val="000000"/>
                <w:sz w:val="20"/>
                <w:szCs w:val="20"/>
              </w:rPr>
            </w:pPr>
            <w:r w:rsidDel="00000000" w:rsidR="00000000" w:rsidRPr="00000000">
              <w:rPr>
                <w:rtl w:val="0"/>
              </w:rPr>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2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28">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0" w:val="nil"/>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2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2B">
            <w:pPr>
              <w:rPr>
                <w:rFonts w:ascii="Calibri" w:cs="Calibri" w:eastAsia="Calibri" w:hAnsi="Calibri"/>
                <w:color w:val="000000"/>
                <w:sz w:val="20"/>
                <w:szCs w:val="20"/>
              </w:rPr>
            </w:pPr>
            <w:r w:rsidDel="00000000" w:rsidR="00000000" w:rsidRPr="00000000">
              <w:rPr>
                <w:rtl w:val="0"/>
              </w:rPr>
            </w:r>
          </w:p>
        </w:tc>
        <w:tc>
          <w:tcPr>
            <w:vMerge w:val="restart"/>
            <w:tcBorders>
              <w:top w:color="000000" w:space="0" w:sz="6"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2C">
            <w:pPr>
              <w:rPr>
                <w:rFonts w:ascii="Calibri" w:cs="Calibri" w:eastAsia="Calibri" w:hAnsi="Calibri"/>
                <w:b w:val="1"/>
                <w:color w:val="000000"/>
                <w:sz w:val="16"/>
                <w:szCs w:val="16"/>
              </w:rPr>
            </w:pPr>
            <w:r w:rsidDel="00000000" w:rsidR="00000000" w:rsidRPr="00000000">
              <w:rPr>
                <w:rtl w:val="0"/>
              </w:rPr>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2D">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2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2F">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0" w:val="nil"/>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3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35">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3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39">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0" w:val="nil"/>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3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3F">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4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43">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4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Target groups/ages</w:t>
            </w:r>
          </w:p>
          <w:p w:rsidR="00000000" w:rsidDel="00000000" w:rsidP="00000000" w:rsidRDefault="00000000" w:rsidRPr="00000000" w14:paraId="00000348">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349">
            <w:pPr>
              <w:rPr>
                <w:rFonts w:ascii="Calibri" w:cs="Calibri" w:eastAsia="Calibri" w:hAnsi="Calibri"/>
                <w:color w:val="000000"/>
                <w:sz w:val="22"/>
                <w:szCs w:val="22"/>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4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4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Interrupt circulation of poliovirus by immunizing every child under five years with two doses of oral polio vaccine (OPV), regardless of previous immunization status, location and social condition</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34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34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household members in malaria-endemic areas, regardless of age, ultimately providing one net for every two household members.</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4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Diethylcarbamazine/albendazole to all eligible persons age 2 years; </w:t>
            </w:r>
          </w:p>
          <w:p w:rsidR="00000000" w:rsidDel="00000000" w:rsidP="00000000" w:rsidRDefault="00000000" w:rsidRPr="00000000" w14:paraId="0000035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Ivermectin/Albendazole all eligible persons &gt;90 cm in height or &gt;15 kg in weight</w:t>
            </w:r>
            <w:r w:rsidDel="00000000" w:rsidR="00000000" w:rsidRPr="00000000">
              <w:rPr>
                <w:rFonts w:ascii="Calibri" w:cs="Calibri" w:eastAsia="Calibri" w:hAnsi="Calibri"/>
                <w:color w:val="000000"/>
                <w:sz w:val="20"/>
                <w:szCs w:val="20"/>
                <w:vertAlign w:val="superscript"/>
                <w:rtl w:val="0"/>
              </w:rPr>
              <w:t xml:space="preserve">3</w:t>
            </w:r>
            <w:r w:rsidDel="00000000" w:rsidR="00000000" w:rsidRPr="00000000">
              <w:rPr>
                <w:rFonts w:ascii="Calibri" w:cs="Calibri" w:eastAsia="Calibri" w:hAnsi="Calibri"/>
                <w:color w:val="000000"/>
                <w:sz w:val="20"/>
                <w:szCs w:val="20"/>
                <w:rtl w:val="0"/>
              </w:rPr>
              <w:t xml:space="preserve"> </w:t>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35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5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Children ages 6-59 months of age, and pregnant women.</w:t>
            </w:r>
            <w:r w:rsidDel="00000000" w:rsidR="00000000" w:rsidRPr="00000000">
              <w:rPr>
                <w:rFonts w:ascii="Calibri" w:cs="Calibri" w:eastAsia="Calibri" w:hAnsi="Calibri"/>
                <w:color w:val="000000"/>
                <w:sz w:val="20"/>
                <w:szCs w:val="20"/>
                <w:vertAlign w:val="superscript"/>
                <w:rtl w:val="0"/>
              </w:rPr>
              <w:t xml:space="preserve">4</w:t>
            </w:r>
            <w:r w:rsidDel="00000000" w:rsidR="00000000" w:rsidRPr="00000000">
              <w:rPr>
                <w:rFonts w:ascii="Calibri" w:cs="Calibri" w:eastAsia="Calibri" w:hAnsi="Calibri"/>
                <w:color w:val="000000"/>
                <w:sz w:val="20"/>
                <w:szCs w:val="20"/>
                <w:rtl w:val="0"/>
              </w:rPr>
              <w:t xml:space="preserve"> (although many countries have stopped this)</w:t>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5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56">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57">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58">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5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5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eligible persons &gt;90 cm in height or &gt;15 kg in weight</w:t>
            </w:r>
            <w:r w:rsidDel="00000000" w:rsidR="00000000" w:rsidRPr="00000000">
              <w:rPr>
                <w:rFonts w:ascii="Calibri" w:cs="Calibri" w:eastAsia="Calibri" w:hAnsi="Calibri"/>
                <w:color w:val="000000"/>
                <w:sz w:val="20"/>
                <w:szCs w:val="20"/>
                <w:vertAlign w:val="superscript"/>
                <w:rtl w:val="0"/>
              </w:rPr>
              <w:t xml:space="preserve">8</w:t>
            </w:r>
            <w:r w:rsidDel="00000000" w:rsidR="00000000" w:rsidRPr="00000000">
              <w:rPr>
                <w:rtl w:val="0"/>
              </w:rPr>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5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5D">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5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6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Initial catch-up: ages 9 months-14 years; follow-up ages 9-59 months, depending on one-dose coverage, measles incidence, time since last SIA.  Vaccinate all eligible children regardless of previous immunization history.</w:t>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36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6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Children ages 3-59 months; two dosage age groups: 3-11months and 12-59 months.</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6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6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School-aged children and adults in high risk areas or professions</w:t>
            </w:r>
          </w:p>
          <w:p w:rsidR="00000000" w:rsidDel="00000000" w:rsidP="00000000" w:rsidRDefault="00000000" w:rsidRPr="00000000" w14:paraId="00000365">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6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6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Initial Catch-up Campaign: 1-29 years;</w:t>
            </w:r>
          </w:p>
          <w:p w:rsidR="00000000" w:rsidDel="00000000" w:rsidP="00000000" w:rsidRDefault="00000000" w:rsidRPr="00000000" w14:paraId="0000036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 year follow-up campaign.</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36D">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6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7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Children ages 12 months through school age (about 12 years)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7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7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 high risk populations, all persons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 9 months, or in outbreak response, infants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 6 months and pregnant and/or breastfeeding women.</w:t>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77">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7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7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Eligible members of the community &gt;6 months of age.</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7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Campaign Strategies </w:t>
              <w:br w:type="textWrapping"/>
              <w:br w:type="textWrapping"/>
            </w:r>
            <w:r w:rsidDel="00000000" w:rsidR="00000000" w:rsidRPr="00000000">
              <w:rPr>
                <w:rtl w:val="0"/>
              </w:rPr>
            </w:r>
          </w:p>
          <w:p w:rsidR="00000000" w:rsidDel="00000000" w:rsidP="00000000" w:rsidRDefault="00000000" w:rsidRPr="00000000" w14:paraId="0000037F">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Intervention complexity (e.g. injectable cold chain, directly observed therapy)</w:t>
            </w:r>
            <w:r w:rsidDel="00000000" w:rsidR="00000000" w:rsidRPr="00000000">
              <w:rPr>
                <w:rtl w:val="0"/>
              </w:rPr>
            </w:r>
          </w:p>
          <w:p w:rsidR="00000000" w:rsidDel="00000000" w:rsidP="00000000" w:rsidRDefault="00000000" w:rsidRPr="00000000" w14:paraId="00000380">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Place of delivery and distribution mode</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8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8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Fixed, house-to-house or transit point teams; two rounds national immunization days, one month apart, over 3-5 years till eradication.</w:t>
            </w:r>
          </w:p>
          <w:p w:rsidR="00000000" w:rsidDel="00000000" w:rsidP="00000000" w:rsidRDefault="00000000" w:rsidRPr="00000000" w14:paraId="0000038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Mop-up campaigns conducted in areas showing poor coverage.</w:t>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8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8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Fixed post or mobile, depending on complexity of transportation and other logistics.</w:t>
            </w:r>
          </w:p>
          <w:p w:rsidR="00000000" w:rsidDel="00000000" w:rsidP="00000000" w:rsidRDefault="00000000" w:rsidRPr="00000000" w14:paraId="0000038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Mop-up campaigns discouraged in favor of strengthened planning and monitoring.</w:t>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8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8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Fixed posts (including schools) and house-to-house</w:t>
            </w:r>
          </w:p>
          <w:p w:rsidR="00000000" w:rsidDel="00000000" w:rsidP="00000000" w:rsidRDefault="00000000" w:rsidRPr="00000000" w14:paraId="00000389">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8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8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Fixed or mobile, along with immunization and other child health services</w:t>
            </w:r>
            <w:r w:rsidDel="00000000" w:rsidR="00000000" w:rsidRPr="00000000">
              <w:rPr>
                <w:rFonts w:ascii="Calibri" w:cs="Calibri" w:eastAsia="Calibri" w:hAnsi="Calibri"/>
                <w:color w:val="000000"/>
                <w:sz w:val="20"/>
                <w:szCs w:val="20"/>
                <w:vertAlign w:val="superscript"/>
                <w:rtl w:val="0"/>
              </w:rPr>
              <w:t xml:space="preserve">9</w:t>
            </w:r>
            <w:r w:rsidDel="00000000" w:rsidR="00000000" w:rsidRPr="00000000">
              <w:rPr>
                <w:rtl w:val="0"/>
              </w:rPr>
            </w:r>
          </w:p>
          <w:p w:rsidR="00000000" w:rsidDel="00000000" w:rsidP="00000000" w:rsidRDefault="00000000" w:rsidRPr="00000000" w14:paraId="0000038D">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8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Two days for each round of Vitamin A; 1st day at fixed community site and second day door to door visit by community health volunteers for missed children</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9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91">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92">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93">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9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9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Typically house-to-house</w:t>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9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98">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9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9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Fixed post, mobile post, fixed or mobile with house-to-house canvassing, house to house immunization</w:t>
            </w:r>
            <w:r w:rsidDel="00000000" w:rsidR="00000000" w:rsidRPr="00000000">
              <w:rPr>
                <w:rFonts w:ascii="Calibri" w:cs="Calibri" w:eastAsia="Calibri" w:hAnsi="Calibri"/>
                <w:color w:val="000000"/>
                <w:sz w:val="20"/>
                <w:szCs w:val="20"/>
                <w:vertAlign w:val="superscript"/>
                <w:rtl w:val="0"/>
              </w:rPr>
              <w:t xml:space="preserve">10</w:t>
            </w:r>
            <w:r w:rsidDel="00000000" w:rsidR="00000000" w:rsidRPr="00000000">
              <w:rPr>
                <w:rtl w:val="0"/>
              </w:rPr>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9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Mostly door-to-door distribution by community health workers; some countries use mixed models such as fixed point distribution in urban/populated settings; door-to-door in rural settings; and mobile teams to reach nomadic populations</w:t>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9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Typically school-based</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A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A5">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A6">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A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A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Fixed or mobile, along with immunization and other child health services</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A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Fixed; ideal with measles campaigns for children &lt;5 years. Preventive, catch-up (if low routine coverage and population immunity threshold for protection &lt;70%) and reactive campaigns for outbreaks.</w:t>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B0">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B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B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Typically house-to-house</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12" w:val="single"/>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B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Geographic targets</w:t>
            </w:r>
          </w:p>
          <w:p w:rsidR="00000000" w:rsidDel="00000000" w:rsidP="00000000" w:rsidRDefault="00000000" w:rsidRPr="00000000" w14:paraId="000003B8">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18"/>
                <w:szCs w:val="18"/>
                <w:rtl w:val="0"/>
              </w:rPr>
              <w:t xml:space="preserve">Geographic overlap of interventions; Check if other interventions happening/planned</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B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B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or subnational; promote synchronizing; national immunization days with other countries.</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3BB">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3B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preferred, or sub-national based on such factors as geography, local malaria epidemiology, availability of resources.</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B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B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Usually sub-national</w:t>
            </w:r>
          </w:p>
          <w:p w:rsidR="00000000" w:rsidDel="00000000" w:rsidP="00000000" w:rsidRDefault="00000000" w:rsidRPr="00000000" w14:paraId="000003B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(most often district, but sub-district or village may be used)</w:t>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3C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C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or sub-national, in areas with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1% night blindness or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20% prevalence vitamin A deficiency in young children.</w:t>
            </w:r>
          </w:p>
          <w:p w:rsidR="00000000" w:rsidDel="00000000" w:rsidP="00000000" w:rsidRDefault="00000000" w:rsidRPr="00000000" w14:paraId="000003C3">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C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levels, national to village level</w:t>
            </w:r>
          </w:p>
          <w:p w:rsidR="00000000" w:rsidDel="00000000" w:rsidP="00000000" w:rsidRDefault="00000000" w:rsidRPr="00000000" w14:paraId="000003C5">
            <w:pPr>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C6">
            <w:pPr>
              <w:rPr>
                <w:rFonts w:ascii="Calibri" w:cs="Calibri" w:eastAsia="Calibri" w:hAnsi="Calibri"/>
                <w:b w:val="1"/>
                <w:color w:val="000000"/>
                <w:sz w:val="18"/>
                <w:szCs w:val="18"/>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C7">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C8">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C9">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CA">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C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C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Usually sub-national</w:t>
            </w:r>
            <w:r w:rsidDel="00000000" w:rsidR="00000000" w:rsidRPr="00000000">
              <w:rPr>
                <w:rFonts w:ascii="Calibri" w:cs="Calibri" w:eastAsia="Calibri" w:hAnsi="Calibri"/>
                <w:color w:val="000000"/>
                <w:sz w:val="20"/>
                <w:szCs w:val="20"/>
                <w:vertAlign w:val="superscript"/>
                <w:rtl w:val="0"/>
              </w:rPr>
              <w:t xml:space="preserve">6</w:t>
            </w:r>
            <w:r w:rsidDel="00000000" w:rsidR="00000000" w:rsidRPr="00000000">
              <w:rPr>
                <w:rtl w:val="0"/>
              </w:rPr>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C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CF">
            <w:pPr>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D0">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D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D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preferred; phased or rolling with large territories; sub-national where high-risk areas, heterogeneity immunity, localized outbreaks, resource constraints; elimination is absence of measles for &gt;12 months with surveillance</w:t>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3D3">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tcBorders>
              <w:top w:color="000000" w:space="0" w:sz="6"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3D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Countries or areas in Sahel sub-region with highly seasonal malaria transmission.</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D5">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D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Usually sub-national</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DA">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DB">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D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or localized to the meningitis belt, or according to the risk analysis</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3DD">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3DE">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3D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3E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or sub-national, in areas with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20% prevalence of any soil-transmitted helminth.</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3E4">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E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E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or sub-national; may have to be phased over 2-3 years if total targeted population exceeds 15m and vaccine supplies not available.</w:t>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E7">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E8">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3E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3E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Usually sub-national</w:t>
            </w:r>
          </w:p>
          <w:p w:rsidR="00000000" w:rsidDel="00000000" w:rsidP="00000000" w:rsidRDefault="00000000" w:rsidRPr="00000000" w14:paraId="000003E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(most often district)</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EF">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22"/>
                <w:szCs w:val="22"/>
                <w:rtl w:val="0"/>
              </w:rPr>
              <w:t xml:space="preserve">Campaign intervals/ frequency</w:t>
            </w:r>
            <w:r w:rsidDel="00000000" w:rsidR="00000000" w:rsidRPr="00000000">
              <w:rPr>
                <w:rtl w:val="0"/>
              </w:rPr>
            </w:r>
          </w:p>
          <w:p w:rsidR="00000000" w:rsidDel="00000000" w:rsidP="00000000" w:rsidRDefault="00000000" w:rsidRPr="00000000" w14:paraId="000003F0">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Duration/frequency (recurring, rotating, one time, catch up)</w:t>
            </w:r>
            <w:r w:rsidDel="00000000" w:rsidR="00000000" w:rsidRPr="00000000">
              <w:rPr>
                <w:rtl w:val="0"/>
              </w:rPr>
            </w:r>
          </w:p>
          <w:p w:rsidR="00000000" w:rsidDel="00000000" w:rsidP="00000000" w:rsidRDefault="00000000" w:rsidRPr="00000000" w14:paraId="000003F1">
            <w:pPr>
              <w:rPr>
                <w:rFonts w:ascii="Calibri" w:cs="Calibri" w:eastAsia="Calibri" w:hAnsi="Calibri"/>
                <w:b w:val="1"/>
                <w:color w:val="000000"/>
                <w:sz w:val="18"/>
                <w:szCs w:val="18"/>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F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F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Two rounds of national immunization days per year, 4-6 weeks apart.</w:t>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F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vMerge w:val="restart"/>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F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Every three years, based on median ITN survival rate in terms of physical durability and insecticide retention.</w:t>
            </w:r>
          </w:p>
          <w:p w:rsidR="00000000" w:rsidDel="00000000" w:rsidP="00000000" w:rsidRDefault="00000000" w:rsidRPr="00000000" w14:paraId="000003F6">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F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F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Annual</w:t>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F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3F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Two rounds (6 months apart) children ages 6-59 months</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F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3FE">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3FF">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0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0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Annual</w:t>
            </w:r>
            <w:r w:rsidDel="00000000" w:rsidR="00000000" w:rsidRPr="00000000">
              <w:rPr>
                <w:rFonts w:ascii="Calibri" w:cs="Calibri" w:eastAsia="Calibri" w:hAnsi="Calibri"/>
                <w:color w:val="000000"/>
                <w:sz w:val="20"/>
                <w:szCs w:val="20"/>
                <w:vertAlign w:val="superscript"/>
                <w:rtl w:val="0"/>
              </w:rPr>
              <w:t xml:space="preserve">6</w:t>
            </w:r>
            <w:r w:rsidDel="00000000" w:rsidR="00000000" w:rsidRPr="00000000">
              <w:rPr>
                <w:rtl w:val="0"/>
              </w:rPr>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0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05">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07">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0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Initial supplementary immunization activity (SIA) to eliminate susceptible pool, follow-up SIA 2-5 years later when accumulation of susceptible preschool children approaches the size of one birth cohort; </w:t>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0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tcBorders>
              <w:top w:color="000000" w:space="0" w:sz="6" w:val="single"/>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0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Every year, during highest period of malaria transmission season</w:t>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0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0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Annual or less frequent depending on prevalence</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1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1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Initial Catch-up Campaign;</w:t>
            </w:r>
          </w:p>
          <w:p w:rsidR="00000000" w:rsidDel="00000000" w:rsidP="00000000" w:rsidRDefault="00000000" w:rsidRPr="00000000" w14:paraId="0000041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Follow-up campaign after 2-5 years or depending on the epidemiological risk.</w:t>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14">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15">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1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1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Annual if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20% prevalence, biannual if </w:t>
            </w:r>
            <w:r w:rsidDel="00000000" w:rsidR="00000000" w:rsidRPr="00000000">
              <w:rPr>
                <w:rFonts w:ascii="Calibri" w:cs="Calibri" w:eastAsia="Calibri" w:hAnsi="Calibri"/>
                <w:color w:val="000000"/>
                <w:sz w:val="20"/>
                <w:szCs w:val="20"/>
                <w:u w:val="single"/>
                <w:rtl w:val="0"/>
              </w:rPr>
              <w:t xml:space="preserve">&gt;</w:t>
            </w:r>
            <w:r w:rsidDel="00000000" w:rsidR="00000000" w:rsidRPr="00000000">
              <w:rPr>
                <w:rFonts w:ascii="Calibri" w:cs="Calibri" w:eastAsia="Calibri" w:hAnsi="Calibri"/>
                <w:color w:val="000000"/>
                <w:sz w:val="20"/>
                <w:szCs w:val="20"/>
                <w:rtl w:val="0"/>
              </w:rPr>
              <w:t xml:space="preserve">50% prevalence</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1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1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specified</w:t>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1E">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1F">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2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2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Annual</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2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Special populations, groups at high risk</w:t>
            </w:r>
          </w:p>
          <w:p w:rsidR="00000000" w:rsidDel="00000000" w:rsidP="00000000" w:rsidRDefault="00000000" w:rsidRPr="00000000" w14:paraId="00000426">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27">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18"/>
                <w:szCs w:val="18"/>
                <w:rtl w:val="0"/>
              </w:rPr>
              <w:t xml:space="preserve">Focus on equity (e.g. gender, rights etc.)</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2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2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Populations in areas of recent polio circulation or low performance national immunization day rounds, urban poor settlements, remote rural populations, minority populations, mobile populations, nomads, and indigenous peoples.</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42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vMerge w:val="restart"/>
            <w:tcBorders>
              <w:top w:color="000000" w:space="0" w:sz="12"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2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Urban and peri-urban poor, migrants, migrant workers, refugees/IDPs, populations difficult to reach, populations with documented low ITN use despite adequate access, nomadic populations, indigenous peoples, persons in civil conflict, marginalized groups, populations with highest malaria burden or previous low campaign coverage.</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2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2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Urban and per-urban settings often present challenges in achieving coverage targets</w:t>
            </w:r>
          </w:p>
          <w:p w:rsidR="00000000" w:rsidDel="00000000" w:rsidP="00000000" w:rsidRDefault="00000000" w:rsidRPr="00000000" w14:paraId="0000042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Refugees / displaced people, nomadic populations, indigenous peoples, people in civil conflict, marginalized groups.  </w:t>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43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3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Children &lt;5 years and pregnant women in areas of high prevalence of malnutrition.</w:t>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33">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34">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35">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12"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3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3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Areas with co-endemic Loa require additional planning to address risk of Serious Adverse Experiences</w:t>
            </w:r>
            <w:r w:rsidDel="00000000" w:rsidR="00000000" w:rsidRPr="00000000">
              <w:rPr>
                <w:rFonts w:ascii="Calibri" w:cs="Calibri" w:eastAsia="Calibri" w:hAnsi="Calibri"/>
                <w:color w:val="000000"/>
                <w:sz w:val="20"/>
                <w:szCs w:val="20"/>
                <w:vertAlign w:val="superscript"/>
                <w:rtl w:val="0"/>
              </w:rPr>
              <w:t xml:space="preserve">8</w:t>
            </w:r>
            <w:r w:rsidDel="00000000" w:rsidR="00000000" w:rsidRPr="00000000">
              <w:rPr>
                <w:rtl w:val="0"/>
              </w:rPr>
            </w:r>
          </w:p>
          <w:p w:rsidR="00000000" w:rsidDel="00000000" w:rsidP="00000000" w:rsidRDefault="00000000" w:rsidRPr="00000000" w14:paraId="0000043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Refugees / displaced people, nomadic populations, indigenous peoples, people in civil conflict, marginalized groups</w:t>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43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3C">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3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3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Urban poor, migrants, migrant workers, refugees/internally displaced peoples, difficult to reach, nomadic populations, indigenous peoples, persons in civil conflict, marginalized groups, populations with highest measles burden.</w:t>
            </w:r>
          </w:p>
        </w:tc>
        <w:tc>
          <w:tcPr>
            <w:vMerge w:val="restart"/>
            <w:tcBorders>
              <w:top w:color="000000" w:space="0" w:sz="6" w:val="single"/>
              <w:left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4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4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Children 3-59 months in areas of unstable malaria transmission and with high malaria burden.</w:t>
            </w:r>
          </w:p>
          <w:p w:rsidR="00000000" w:rsidDel="00000000" w:rsidP="00000000" w:rsidRDefault="00000000" w:rsidRPr="00000000" w14:paraId="00000442">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4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4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Populations in high prevalence settings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4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4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Refugees / displaced people, nomadic populations, indigenous peoples, people in civil conflict, marginalized groups, workers, and populations in mines within the meningitis belt</w:t>
            </w:r>
          </w:p>
        </w:tc>
        <w:tc>
          <w:tcPr>
            <w:vMerge w:val="continue"/>
            <w:tcBorders>
              <w:top w:color="000000" w:space="0" w:sz="6" w:val="single"/>
              <w:left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4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4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Children &lt;5 years in ages identified with high prevalence infection due to helminths; women of childbearing age (including pregnant women in the 2nd and 3rd trimesters and lactating women), and adults at high risk in certain occupations (e.g. tea-pickers and miners).</w:t>
            </w:r>
            <w:r w:rsidDel="00000000" w:rsidR="00000000" w:rsidRPr="00000000">
              <w:rPr>
                <w:rFonts w:ascii="Calibri" w:cs="Calibri" w:eastAsia="Calibri" w:hAnsi="Calibri"/>
                <w:color w:val="000000"/>
                <w:sz w:val="20"/>
                <w:szCs w:val="20"/>
                <w:vertAlign w:val="superscript"/>
                <w:rtl w:val="0"/>
              </w:rPr>
              <w:t xml:space="preserve">11</w:t>
            </w:r>
            <w:r w:rsidDel="00000000" w:rsidR="00000000" w:rsidRPr="00000000">
              <w:rPr>
                <w:rtl w:val="0"/>
              </w:rPr>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52">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53">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45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Urban areas, any populations with confirmed cases, border areas with countries experiencing outbreaks</w:t>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55">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5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45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Refugees / displaced people, nomadic populations, indigenous peoples, people in civil conflict, marginalized groups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173" w:hRule="atLeast"/>
        </w:trPr>
        <w:tc>
          <w:tcPr>
            <w:vMerge w:val="restart"/>
            <w:tcBorders>
              <w:top w:color="000000" w:space="0" w:sz="12" w:val="single"/>
              <w:left w:color="000000" w:space="0" w:sz="12" w:val="single"/>
              <w:bottom w:color="000000" w:space="0" w:sz="0" w:val="nil"/>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5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Microplanning considerations</w:t>
            </w:r>
          </w:p>
          <w:p w:rsidR="00000000" w:rsidDel="00000000" w:rsidP="00000000" w:rsidRDefault="00000000" w:rsidRPr="00000000" w14:paraId="0000045D">
            <w:pPr>
              <w:rPr>
                <w:rFonts w:ascii="Calibri" w:cs="Calibri" w:eastAsia="Calibri" w:hAnsi="Calibri"/>
                <w:b w:val="1"/>
                <w:color w:val="000000"/>
                <w:sz w:val="22"/>
                <w:szCs w:val="22"/>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5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Similar process to ITNs.  Resource estimates, cold chain and logistics, operations, supervision, recording and reporting tools, monitoring.  Microplans validated at operational level.</w:t>
            </w:r>
          </w:p>
        </w:tc>
        <w:tc>
          <w:tcPr>
            <w:vMerge w:val="restart"/>
            <w:tcBorders>
              <w:top w:color="000000" w:space="0" w:sz="12"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6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p w:rsidR="00000000" w:rsidDel="00000000" w:rsidP="00000000" w:rsidRDefault="00000000" w:rsidRPr="00000000" w14:paraId="00000461">
            <w:pPr>
              <w:rPr>
                <w:rFonts w:ascii="Calibri" w:cs="Calibri" w:eastAsia="Calibri" w:hAnsi="Calibri"/>
                <w:b w:val="1"/>
                <w:color w:val="000000"/>
                <w:sz w:val="16"/>
                <w:szCs w:val="16"/>
              </w:rPr>
            </w:pPr>
            <w:r w:rsidDel="00000000" w:rsidR="00000000" w:rsidRPr="00000000">
              <w:rPr>
                <w:rtl w:val="0"/>
              </w:rPr>
            </w:r>
          </w:p>
        </w:tc>
        <w:tc>
          <w:tcPr>
            <w:vMerge w:val="restart"/>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6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Must begin preparations 9-12 months in advance.  Include pre-positioning locations, budgeting, personnel needs, time for data collection, cleaning and synthesis, tools needed, training, transportation, supervision, communication needs, and evaluation. Informed by household registration of all beneficiaries, often supplemented with vouchers or coupons for net redemption at fixed sites.</w:t>
            </w:r>
          </w:p>
        </w:tc>
        <w:tc>
          <w:tcPr>
            <w:tcBorders>
              <w:top w:color="000000" w:space="0" w:sz="12" w:val="single"/>
              <w:left w:color="000000" w:space="0" w:sz="12" w:val="single"/>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63">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6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always employed, but needed to address full coverage of all households and at-risk groups</w:t>
            </w:r>
          </w:p>
        </w:tc>
        <w:tc>
          <w:tcPr>
            <w:tcBorders>
              <w:top w:color="000000" w:space="0" w:sz="12" w:val="single"/>
              <w:left w:color="000000" w:space="0" w:sz="4" w:val="single"/>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6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Usually employed; Resource estimates, Vitamin A procurement and transportation, supervision, recording and reporting tools, community mobilization.                                                               </w:t>
            </w:r>
          </w:p>
        </w:tc>
      </w:tr>
      <w:tr>
        <w:trPr>
          <w:trHeight w:val="295" w:hRule="atLeast"/>
        </w:trPr>
        <w:tc>
          <w:tcPr>
            <w:vMerge w:val="continue"/>
            <w:tcBorders>
              <w:top w:color="000000" w:space="0" w:sz="12" w:val="single"/>
              <w:left w:color="000000" w:space="0" w:sz="12" w:val="single"/>
              <w:bottom w:color="000000" w:space="0" w:sz="0" w:val="nil"/>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6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6A">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6D">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6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 always employed, but needed to address full coverage of all households and at-risk groups</w:t>
            </w:r>
          </w:p>
        </w:tc>
        <w:tc>
          <w:tcPr>
            <w:vMerge w:val="restart"/>
            <w:tcBorders>
              <w:top w:color="000000" w:space="0" w:sz="12"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7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71">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bottom w:color="000000" w:space="0" w:sz="0" w:val="nil"/>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73">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7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Must begin preparations 9-12 months before supplementary immunization activity (SIA).  Similar process to ITNs: estimating target population with census, community registers, line list from women’s groups and leaders, previous polio or measles SIA data, number of children vaccinated with</w:t>
            </w:r>
            <w:r w:rsidDel="00000000" w:rsidR="00000000" w:rsidRPr="00000000">
              <w:rPr>
                <w:color w:val="000000"/>
                <w:rtl w:val="0"/>
              </w:rPr>
              <w:t xml:space="preserve"> </w:t>
            </w:r>
            <w:r w:rsidDel="00000000" w:rsidR="00000000" w:rsidRPr="00000000">
              <w:rPr>
                <w:rFonts w:ascii="Calibri" w:cs="Calibri" w:eastAsia="Calibri" w:hAnsi="Calibri"/>
                <w:color w:val="000000"/>
                <w:sz w:val="20"/>
                <w:szCs w:val="20"/>
                <w:rtl w:val="0"/>
              </w:rPr>
              <w:t xml:space="preserve">BCG (Bacillus Calmette–Guérin vaccine is a vaccine primarily used against tuberculosis) or first dose DTPCV Diphtheria, Tetanus, Pertussis containing vaccine; Joint External Evaluation</w:t>
            </w:r>
          </w:p>
        </w:tc>
        <w:tc>
          <w:tcPr>
            <w:vMerge w:val="restart"/>
            <w:tcBorders>
              <w:top w:color="000000" w:space="0" w:sz="12"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7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7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Must place orders at least 8 months in advance of campaigns. Operational preparations starting at least 6 months in advance of the start of the campaign, including personnel needs, procurement of materials need by community health workers and other supplies, data collection tools and planning, pharmacovigilance, training personnel, transportation, supervision, communication needs, and post-campaign coverage surveys.</w:t>
            </w:r>
          </w:p>
        </w:tc>
        <w:tc>
          <w:tcPr>
            <w:tcBorders>
              <w:top w:color="000000" w:space="0" w:sz="12" w:val="single"/>
              <w:left w:color="000000" w:space="0" w:sz="12" w:val="single"/>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77">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7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Focused on schools.</w:t>
            </w:r>
          </w:p>
        </w:tc>
        <w:tc>
          <w:tcPr>
            <w:vMerge w:val="continue"/>
            <w:tcBorders>
              <w:top w:color="000000" w:space="0" w:sz="12"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bottom w:color="000000" w:space="0" w:sz="0" w:val="nil"/>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7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7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Preparations should start 9-12 months before national immunization days. Process relates to the stages: count or estimate of the target population with census, community registers, list of community agents, community relays, community leaders previous data on polio or measles supplementary immunization activity, number of children vaccinated with BCG or Penta 1 (first dose).</w:t>
            </w:r>
          </w:p>
          <w:p w:rsidR="00000000" w:rsidDel="00000000" w:rsidP="00000000" w:rsidRDefault="00000000" w:rsidRPr="00000000" w14:paraId="0000047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Monitor the level of preparations for the online Health District campaigns as practiced with the polio national immunization days.</w:t>
            </w:r>
          </w:p>
        </w:tc>
        <w:tc>
          <w:tcPr>
            <w:vMerge w:val="continue"/>
            <w:tcBorders>
              <w:top w:color="000000" w:space="0" w:sz="12"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8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p>
        </w:tc>
        <w:tc>
          <w:tcPr>
            <w:gridSpan w:val="2"/>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8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TBD</w:t>
            </w:r>
          </w:p>
        </w:tc>
        <w:tc>
          <w:tcPr>
            <w:vMerge w:val="continue"/>
            <w:tcBorders>
              <w:top w:color="000000" w:space="0" w:sz="12"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bottom w:color="000000" w:space="0" w:sz="0" w:val="nil"/>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8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89">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8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8D">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12"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9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Estimating Target Populations</w:t>
            </w:r>
          </w:p>
          <w:p w:rsidR="00000000" w:rsidDel="00000000" w:rsidP="00000000" w:rsidRDefault="00000000" w:rsidRPr="00000000" w14:paraId="00000492">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3">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4">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5">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6">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7">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8">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9">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A">
            <w:pPr>
              <w:rPr>
                <w:rFonts w:ascii="Calibri" w:cs="Calibri" w:eastAsia="Calibri" w:hAnsi="Calibri"/>
                <w:b w:val="1"/>
                <w:color w:val="000000"/>
                <w:sz w:val="22"/>
                <w:szCs w:val="22"/>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9B">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9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Target populations can be based on the administrative population, the number of children vaccinated during previous supplementary immunization activities, and/or quality micro-planning if time allows. </w:t>
            </w:r>
            <w:r w:rsidDel="00000000" w:rsidR="00000000" w:rsidRPr="00000000">
              <w:rPr>
                <w:rFonts w:ascii="Calibri" w:cs="Calibri" w:eastAsia="Calibri" w:hAnsi="Calibri"/>
                <w:color w:val="000000"/>
                <w:sz w:val="20"/>
                <w:szCs w:val="20"/>
                <w:vertAlign w:val="superscript"/>
                <w:rtl w:val="0"/>
              </w:rPr>
              <w:t xml:space="preserve">12</w:t>
            </w:r>
            <w:r w:rsidDel="00000000" w:rsidR="00000000" w:rsidRPr="00000000">
              <w:rPr>
                <w:rtl w:val="0"/>
              </w:rPr>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9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9E">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9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4"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A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Usually based on official census projections minus 10–15%, depending on estimates of the ineligible population, or calculated by house-to-house registration done directly before</w:t>
            </w:r>
          </w:p>
          <w:p w:rsidR="00000000" w:rsidDel="00000000" w:rsidP="00000000" w:rsidRDefault="00000000" w:rsidRPr="00000000" w14:paraId="000004A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mass drug administration </w:t>
            </w:r>
            <w:r w:rsidDel="00000000" w:rsidR="00000000" w:rsidRPr="00000000">
              <w:rPr>
                <w:rFonts w:ascii="Calibri" w:cs="Calibri" w:eastAsia="Calibri" w:hAnsi="Calibri"/>
                <w:color w:val="000000"/>
                <w:sz w:val="20"/>
                <w:szCs w:val="20"/>
                <w:vertAlign w:val="superscript"/>
                <w:rtl w:val="0"/>
              </w:rPr>
              <w:t xml:space="preserve">3</w:t>
            </w:r>
            <w:r w:rsidDel="00000000" w:rsidR="00000000" w:rsidRPr="00000000">
              <w:rPr>
                <w:rtl w:val="0"/>
              </w:rPr>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A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A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Estimation by Health Management Information System; target 6-59 month and postpartum mothers</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A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A7">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A8">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A9">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A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A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Census estimates or households registers or school enrollment estimates depending on neglected tropical disease.</w:t>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A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A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Based on the prevalence of malnutrition provided by population based national level surveys; Demographic and Health Surveys.</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B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B1">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B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B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Household registration</w:t>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B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B5">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B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BB">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BC">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B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BF">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C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C5">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C6">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4C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4C9">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C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Methods of estimating supply requirements</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C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C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OPV wastage in 20-dose vials during supplementary immunization activity: 15%; 1.2 wastage factor; mOPV2 (Monovalent type 2 oral polio vaccine) supply = Target population x 1.15</w:t>
            </w:r>
            <w:r w:rsidDel="00000000" w:rsidR="00000000" w:rsidRPr="00000000">
              <w:rPr>
                <w:rFonts w:ascii="Calibri" w:cs="Calibri" w:eastAsia="Calibri" w:hAnsi="Calibri"/>
                <w:color w:val="000000"/>
                <w:sz w:val="20"/>
                <w:szCs w:val="20"/>
                <w:vertAlign w:val="superscript"/>
                <w:rtl w:val="0"/>
              </w:rPr>
              <w:t xml:space="preserve">12</w:t>
            </w:r>
            <w:r w:rsidDel="00000000" w:rsidR="00000000" w:rsidRPr="00000000">
              <w:rPr>
                <w:rtl w:val="0"/>
              </w:rPr>
            </w:r>
          </w:p>
          <w:p w:rsidR="00000000" w:rsidDel="00000000" w:rsidP="00000000" w:rsidRDefault="00000000" w:rsidRPr="00000000" w14:paraId="000004D0">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4D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vMerge w:val="restart"/>
            <w:tcBorders>
              <w:top w:color="000000" w:space="0" w:sz="12"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D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 ITN procurement: calculate 1.8 nets per person, accounting for use of each net by 2 persons and adjusting for odd numbers of household occupants.  Countries now allow for wastage factor.</w:t>
            </w:r>
          </w:p>
          <w:p w:rsidR="00000000" w:rsidDel="00000000" w:rsidP="00000000" w:rsidRDefault="00000000" w:rsidRPr="00000000" w14:paraId="000004D3">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D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D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Estimates generated automatically through WHO Joint Application Package</w:t>
            </w:r>
            <w:r w:rsidDel="00000000" w:rsidR="00000000" w:rsidRPr="00000000">
              <w:rPr>
                <w:rFonts w:ascii="Calibri" w:cs="Calibri" w:eastAsia="Calibri" w:hAnsi="Calibri"/>
                <w:color w:val="000000"/>
                <w:sz w:val="20"/>
                <w:szCs w:val="20"/>
                <w:vertAlign w:val="superscript"/>
                <w:rtl w:val="0"/>
              </w:rPr>
              <w:t xml:space="preserve">13</w:t>
            </w:r>
            <w:r w:rsidDel="00000000" w:rsidR="00000000" w:rsidRPr="00000000">
              <w:rPr>
                <w:rtl w:val="0"/>
              </w:rPr>
            </w:r>
          </w:p>
          <w:p w:rsidR="00000000" w:rsidDel="00000000" w:rsidP="00000000" w:rsidRDefault="00000000" w:rsidRPr="00000000" w14:paraId="000004D6">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4D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D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If no population data denominators separated by age group, the proportion of children who are 6 – 11 months old is generally estimated to be 0.111 and the proportion of children who are 12 – 59 months old is generally estimated to be 0.889.</w:t>
            </w:r>
          </w:p>
          <w:p w:rsidR="00000000" w:rsidDel="00000000" w:rsidP="00000000" w:rsidRDefault="00000000" w:rsidRPr="00000000" w14:paraId="000004DA">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4D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Based on the target population provided by Health Management Information System</w:t>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D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DE">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DF">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12"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E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E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Estimates generated automatically through WHO Joint Application Package</w:t>
            </w:r>
            <w:r w:rsidDel="00000000" w:rsidR="00000000" w:rsidRPr="00000000">
              <w:rPr>
                <w:rFonts w:ascii="Calibri" w:cs="Calibri" w:eastAsia="Calibri" w:hAnsi="Calibri"/>
                <w:color w:val="000000"/>
                <w:sz w:val="20"/>
                <w:szCs w:val="20"/>
                <w:vertAlign w:val="superscript"/>
                <w:rtl w:val="0"/>
              </w:rPr>
              <w:t xml:space="preserve">13</w:t>
            </w:r>
            <w:r w:rsidDel="00000000" w:rsidR="00000000" w:rsidRPr="00000000">
              <w:rPr>
                <w:rtl w:val="0"/>
              </w:rPr>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4E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E5">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E7">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E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Vaccine: based on target population and vaccine wastage rates; cold chain &amp; other supplies estimated by varying methods.</w:t>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4E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E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 calculating the total number of sulfadoxine-pyrimethamine + amodiaquine blister-packs needed for procurement: Consider the total number of children 3-59 months living in the seasonal areas of high transmission, and multiply by the number of monthly intervals. Consider adding a buffer stock of 5%-10% depending on the country context and budget to accommodate for any inaccuracies of original planning data or population movement.</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E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E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Estimates generated automatically through WHO Joint Application Package</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F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F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Vaccine: depending on target population and vaccine wastage rates; cold chain and other supplies estimated by different methods.</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4F3">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4F5">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F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Estimates generated automatically through WHO Joint Application Package</w:t>
            </w:r>
            <w:r w:rsidDel="00000000" w:rsidR="00000000" w:rsidRPr="00000000">
              <w:rPr>
                <w:rFonts w:ascii="Calibri" w:cs="Calibri" w:eastAsia="Calibri" w:hAnsi="Calibri"/>
                <w:color w:val="000000"/>
                <w:sz w:val="20"/>
                <w:szCs w:val="20"/>
                <w:vertAlign w:val="superscript"/>
                <w:rtl w:val="0"/>
              </w:rPr>
              <w:t xml:space="preserve">13</w:t>
            </w:r>
            <w:r w:rsidDel="00000000" w:rsidR="00000000" w:rsidRPr="00000000">
              <w:rPr>
                <w:rtl w:val="0"/>
              </w:rPr>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FB">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4FC">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FD">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4F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50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Estimates generated through the International Trachoma Initiative application process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0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Communications/ Social and Behavior Change</w:t>
            </w:r>
          </w:p>
          <w:p w:rsidR="00000000" w:rsidDel="00000000" w:rsidP="00000000" w:rsidRDefault="00000000" w:rsidRPr="00000000" w14:paraId="00000505">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06">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Communication (e.g. to address rumors, hesitancy)</w:t>
            </w:r>
            <w:r w:rsidDel="00000000" w:rsidR="00000000" w:rsidRPr="00000000">
              <w:rPr>
                <w:rtl w:val="0"/>
              </w:rPr>
            </w:r>
          </w:p>
          <w:p w:rsidR="00000000" w:rsidDel="00000000" w:rsidP="00000000" w:rsidRDefault="00000000" w:rsidRPr="00000000" w14:paraId="00000507">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Focus on equity (e.g. gender, rights etc.)</w:t>
            </w:r>
            <w:r w:rsidDel="00000000" w:rsidR="00000000" w:rsidRPr="00000000">
              <w:rPr>
                <w:rtl w:val="0"/>
              </w:rPr>
            </w:r>
          </w:p>
          <w:p w:rsidR="00000000" w:rsidDel="00000000" w:rsidP="00000000" w:rsidRDefault="00000000" w:rsidRPr="00000000" w14:paraId="00000508">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Values (Active community participation throughout phases</w:t>
            </w:r>
            <w:r w:rsidDel="00000000" w:rsidR="00000000" w:rsidRPr="00000000">
              <w:rPr>
                <w:rtl w:val="0"/>
              </w:rPr>
            </w:r>
          </w:p>
          <w:p w:rsidR="00000000" w:rsidDel="00000000" w:rsidP="00000000" w:rsidRDefault="00000000" w:rsidRPr="00000000" w14:paraId="00000509">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18"/>
                <w:szCs w:val="18"/>
                <w:rtl w:val="0"/>
              </w:rPr>
              <w:t xml:space="preserve">Partial integration (census data, social mobilization, education, messaging)</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0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0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Identify target age for immunization; prepare to manage issues such as negative publicity, rumors, refusals</w:t>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0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vMerge w:val="restart"/>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0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Messages for each stage of campaign (pre, during and post) to instruct on hanging, when to use, care and repair, washing, disposition of older nets</w:t>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0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0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Messages on purpose, benefits and side effects associated with mass drug administration.</w:t>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1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1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PSA through community radio stations and place, TV announcements, push messaging, social media, loudspeaker announcements, mothers group meetings</w:t>
            </w:r>
          </w:p>
          <w:p w:rsidR="00000000" w:rsidDel="00000000" w:rsidP="00000000" w:rsidRDefault="00000000" w:rsidRPr="00000000" w14:paraId="00000513">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1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16">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17">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1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1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Messages on purpose, benefits and side effects associated with mass drug administration.</w:t>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1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1D">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1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2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Identify target age for immunization; prepare to manage issues such as negative publicity, rumors, Adverse Event Following Immunization</w:t>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2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2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Messages for each stage of campaign (pre, during and post) to communicate the dates of the campaign, eligibility to receive sulfadoxine-pyrimethamine + amodiaquine , remind caregivers to take daily doses 2 and 3, importance of going to health center in case of side effects, and on general malaria prevention and treatment.</w:t>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2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2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School and community-based education on causes and benefits of mass drug administration.</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2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2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Identify the target age for vaccination; prepare to deal with issues such as negative publicity, rumors, Adverse Event Following Immunization</w:t>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2B">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2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2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Messaging on target ages; need train volunteers to communicate in handling children who cannot swallow pill, and to crush pill for children &lt;3 years.</w:t>
            </w:r>
            <w:r w:rsidDel="00000000" w:rsidR="00000000" w:rsidRPr="00000000">
              <w:rPr>
                <w:rFonts w:ascii="Calibri" w:cs="Calibri" w:eastAsia="Calibri" w:hAnsi="Calibri"/>
                <w:color w:val="000000"/>
                <w:sz w:val="20"/>
                <w:szCs w:val="20"/>
                <w:vertAlign w:val="superscript"/>
                <w:rtl w:val="0"/>
              </w:rPr>
              <w:t xml:space="preserve">11</w:t>
            </w: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33">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3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Risk communication, target mobilization to highest-risk populations</w:t>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35">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3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3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Messages on purpose, benefits and side effects associated with mass drug administration and on elements of the SAFE (Surgery i.e. in-turned eyelashes, Antibiotics, Facial Cleanliness, Environmental improvement) strategy.</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12" w:val="single"/>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3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Procurement and timeframe considerations</w:t>
            </w:r>
          </w:p>
          <w:p w:rsidR="00000000" w:rsidDel="00000000" w:rsidP="00000000" w:rsidRDefault="00000000" w:rsidRPr="00000000" w14:paraId="0000053D">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Financing—Government &amp; donors; Incentives for integration</w:t>
            </w:r>
            <w:r w:rsidDel="00000000" w:rsidR="00000000" w:rsidRPr="00000000">
              <w:rPr>
                <w:rtl w:val="0"/>
              </w:rPr>
            </w:r>
          </w:p>
          <w:p w:rsidR="00000000" w:rsidDel="00000000" w:rsidP="00000000" w:rsidRDefault="00000000" w:rsidRPr="00000000" w14:paraId="0000053E">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18"/>
                <w:szCs w:val="18"/>
                <w:rtl w:val="0"/>
              </w:rPr>
              <w:t xml:space="preserve">Discussion and agreement with partners (advantages of integration and pooling of resources)</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3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4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Vaccines all shipped by air, require 3-5 months; up to 4 weeks for delivery of immunization equipment by sea.</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54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54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Global Fund: minimum 6-7 months between order and delivery</w:t>
            </w:r>
          </w:p>
          <w:p w:rsidR="00000000" w:rsidDel="00000000" w:rsidP="00000000" w:rsidRDefault="00000000" w:rsidRPr="00000000" w14:paraId="00000543">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4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President’s Malaria Initiative: 10 months from request to delivery in country (as of January 2018) </w:t>
            </w:r>
          </w:p>
          <w:p w:rsidR="00000000" w:rsidDel="00000000" w:rsidP="00000000" w:rsidRDefault="00000000" w:rsidRPr="00000000" w14:paraId="00000545">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4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5-8 months minimum to place order, receive funds by UNICEF, shipping and freight lead time, and arrival and positioning in country</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4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4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Place order 9-12 months before mass drug administration</w:t>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54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4B">
            <w:pPr>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4C">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4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4E">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4F">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50">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5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5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Place order 9-12 months before mass drug administration</w:t>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5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55">
            <w:pPr>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56">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57">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5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Place order 9-12 months before campaign; comprehensive multi-year strategic plans.</w:t>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55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5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Global Fund: Minimum 8 months lead time.</w:t>
            </w:r>
          </w:p>
          <w:p w:rsidR="00000000" w:rsidDel="00000000" w:rsidP="00000000" w:rsidRDefault="00000000" w:rsidRPr="00000000" w14:paraId="0000055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PMI: plan for minimum 12-month lead time given limited sulfadoxine-pyrimethamine + amodiaquine production capacity</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5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5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Place order 9-12 months before mass drug administration</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61">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6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6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Place order 9-12 months before campaign.</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564">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6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Place order 9-12 months before mass drug administration</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6B">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56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56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Fluid: limited production capacity constrains supplies, UNICEF prioritizes campaigns.  International Coordinating Group for Vaccine Provision manages a GAVI-supported emergency stockpile.</w:t>
            </w:r>
          </w:p>
          <w:p w:rsidR="00000000" w:rsidDel="00000000" w:rsidP="00000000" w:rsidRDefault="00000000" w:rsidRPr="00000000" w14:paraId="0000056E">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56F">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57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57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Place order 12 months before mass drug administration</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tcPr>
          <w:p w:rsidR="00000000" w:rsidDel="00000000" w:rsidP="00000000" w:rsidRDefault="00000000" w:rsidRPr="00000000" w14:paraId="0000057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Procurement Sources</w:t>
            </w:r>
          </w:p>
          <w:p w:rsidR="00000000" w:rsidDel="00000000" w:rsidP="00000000" w:rsidRDefault="00000000" w:rsidRPr="00000000" w14:paraId="00000577">
            <w:pPr>
              <w:rPr>
                <w:rFonts w:ascii="Calibri" w:cs="Calibri" w:eastAsia="Calibri" w:hAnsi="Calibri"/>
                <w:b w:val="1"/>
                <w:color w:val="000000"/>
                <w:sz w:val="22"/>
                <w:szCs w:val="22"/>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7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7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Supply Division</w:t>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7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7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Global Fund, President’s Malaria Initiative and others directly from net manufacturers; UNICEF Supply Division</w:t>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7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7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WHO with possible review by the Mectizan Donation Program</w:t>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7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8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Supply Division,</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tcPr>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8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83">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84">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85">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8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8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WHO - reviewed by Mectizan Donation Program</w:t>
            </w:r>
            <w:r w:rsidDel="00000000" w:rsidR="00000000" w:rsidRPr="00000000">
              <w:rPr>
                <w:rFonts w:ascii="Calibri" w:cs="Calibri" w:eastAsia="Calibri" w:hAnsi="Calibri"/>
                <w:color w:val="000000"/>
                <w:sz w:val="20"/>
                <w:szCs w:val="20"/>
                <w:vertAlign w:val="superscript"/>
                <w:rtl w:val="0"/>
              </w:rPr>
              <w:t xml:space="preserve">6</w:t>
            </w:r>
            <w:r w:rsidDel="00000000" w:rsidR="00000000" w:rsidRPr="00000000">
              <w:rPr>
                <w:rtl w:val="0"/>
              </w:rPr>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8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8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Supply Division</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tcPr>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8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8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Supply Division; UNICEF, PAHO Revolving Fund, Gavi Roadmap, healthy market framework, MI4A</w:t>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8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8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Global Fund: Pooled Procurement Mechanism directly from supplier (Guilin)</w:t>
            </w:r>
          </w:p>
          <w:p w:rsidR="00000000" w:rsidDel="00000000" w:rsidP="00000000" w:rsidRDefault="00000000" w:rsidRPr="00000000" w14:paraId="0000059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President’s Malaria Initiative: TBD</w:t>
            </w:r>
          </w:p>
          <w:p w:rsidR="00000000" w:rsidDel="00000000" w:rsidP="00000000" w:rsidRDefault="00000000" w:rsidRPr="00000000" w14:paraId="00000591">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9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9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WHO</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tcPr>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9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9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Supply Division</w:t>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9A">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9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Supply Division</w:t>
            </w:r>
            <w:r w:rsidDel="00000000" w:rsidR="00000000" w:rsidRPr="00000000">
              <w:rPr>
                <w:rFonts w:ascii="Calibri" w:cs="Calibri" w:eastAsia="Calibri" w:hAnsi="Calibri"/>
                <w:color w:val="000000"/>
                <w:sz w:val="20"/>
                <w:szCs w:val="20"/>
                <w:vertAlign w:val="superscript"/>
                <w:rtl w:val="0"/>
              </w:rPr>
              <w:t xml:space="preserve">14</w:t>
            </w:r>
            <w:r w:rsidDel="00000000" w:rsidR="00000000" w:rsidRPr="00000000">
              <w:rPr>
                <w:rtl w:val="0"/>
              </w:rPr>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tcPr>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A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A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UNICEF Supply Division</w:t>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A4">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A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A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International Trachoma Initiative </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12" w:val="single"/>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A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Training</w:t>
            </w:r>
          </w:p>
          <w:p w:rsidR="00000000" w:rsidDel="00000000" w:rsidP="00000000" w:rsidRDefault="00000000" w:rsidRPr="00000000" w14:paraId="000005AC">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Coordination mechanisms, including public health workforce</w:t>
            </w:r>
            <w:r w:rsidDel="00000000" w:rsidR="00000000" w:rsidRPr="00000000">
              <w:rPr>
                <w:rtl w:val="0"/>
              </w:rPr>
            </w:r>
          </w:p>
          <w:p w:rsidR="00000000" w:rsidDel="00000000" w:rsidP="00000000" w:rsidRDefault="00000000" w:rsidRPr="00000000" w14:paraId="000005AD">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Health worker acceptance of all individual interventions &amp; of integration</w:t>
            </w: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color w:val="000000"/>
                <w:sz w:val="18"/>
                <w:szCs w:val="18"/>
                <w:rtl w:val="0"/>
              </w:rPr>
              <w:t xml:space="preserve">Community capacity to ensure effective integration (e.g., training)</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A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B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Vaccinators, supervisors, monitors, volunteers, district-level program managers, logisticians, communication focal persons.</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5B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vMerge w:val="restart"/>
            <w:tcBorders>
              <w:top w:color="000000" w:space="0" w:sz="12"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B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Supervisors, monitors, health workers, volunteers, district-level program managers, logisticians, communication focal persons.</w:t>
            </w:r>
          </w:p>
          <w:p w:rsidR="00000000" w:rsidDel="00000000" w:rsidP="00000000" w:rsidRDefault="00000000" w:rsidRPr="00000000" w14:paraId="000005B3">
            <w:pPr>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B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B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Community health workers, supervisors, monitors, health workers, volunteers, district-level program managers, logisticians, communication focal persons</w:t>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5B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B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Supervisors, monitors, health workers, volunteers, district-level program managers, logisticians, communication focal persons.</w:t>
            </w:r>
          </w:p>
          <w:p w:rsidR="00000000" w:rsidDel="00000000" w:rsidP="00000000" w:rsidRDefault="00000000" w:rsidRPr="00000000" w14:paraId="000005B9">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B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Health workers, Community Health Volunteers</w:t>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BB">
            <w:pPr>
              <w:rPr>
                <w:rFonts w:ascii="Calibri" w:cs="Calibri" w:eastAsia="Calibri" w:hAnsi="Calibri"/>
                <w:b w:val="1"/>
                <w:color w:val="000000"/>
                <w:sz w:val="18"/>
                <w:szCs w:val="18"/>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B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BD">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BE">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12"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C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C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Community health workers, supervisors, monitors, health workers, volunteers, district-level program managers, logisticians, communication focal persons</w:t>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C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C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Health workers, Community Health Volunteers.</w:t>
            </w:r>
          </w:p>
          <w:p w:rsidR="00000000" w:rsidDel="00000000" w:rsidP="00000000" w:rsidRDefault="00000000" w:rsidRPr="00000000" w14:paraId="000005C5">
            <w:pPr>
              <w:rPr>
                <w:rFonts w:ascii="Calibri" w:cs="Calibri" w:eastAsia="Calibri" w:hAnsi="Calibri"/>
                <w:color w:val="000000"/>
                <w:sz w:val="20"/>
                <w:szCs w:val="20"/>
              </w:rPr>
            </w:pPr>
            <w:r w:rsidDel="00000000" w:rsidR="00000000" w:rsidRPr="00000000">
              <w:rPr>
                <w:rtl w:val="0"/>
              </w:rPr>
            </w:r>
          </w:p>
        </w:tc>
      </w:tr>
      <w:tr>
        <w:trPr>
          <w:trHeight w:val="892"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C6">
            <w:pPr>
              <w:rPr>
                <w:rFonts w:ascii="Calibri" w:cs="Calibri" w:eastAsia="Calibri" w:hAnsi="Calibri"/>
                <w:b w:val="1"/>
                <w:color w:val="000000"/>
                <w:sz w:val="18"/>
                <w:szCs w:val="18"/>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C7">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C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Vaccinators, supervisors, monitors, volunteers, district-level program managers, logisticians, communication focal persons.</w:t>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5C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C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Community health workers, supervisors, monitors, health workers, volunteers, district-level program managers, pharmacovigilance point persons, logisticians, communication focal persons.</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C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C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Teachers, supervisors, monitors, health workers, volunteers, district-level program managers, logisticians, communication focal persons.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D0">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D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D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Vaccinators, supervisors, monitors, volunteers, district program managers, logisticians, communication focal persons.</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5D3">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5D5">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D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Teachers, supervisors, monitors, health workers, volunteers, district-level program managers, logisticians, communication focal persons.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5DA">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5DB">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5D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Vaccinators, supervisors, monitors, volunteers, district-level program managers, logisticians, communication focal persons.</w:t>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5DD">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5D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5E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Community health workers, supervisors, monitors, health workers, volunteers, district-level program managers, logisticians, communication focal persons</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E4">
            <w:pPr>
              <w:rPr>
                <w:rFonts w:ascii="Calibri" w:cs="Calibri" w:eastAsia="Calibri" w:hAnsi="Calibri"/>
                <w:color w:val="000000"/>
                <w:sz w:val="18"/>
                <w:szCs w:val="18"/>
              </w:rPr>
            </w:pPr>
            <w:r w:rsidDel="00000000" w:rsidR="00000000" w:rsidRPr="00000000">
              <w:rPr>
                <w:rFonts w:ascii="Calibri" w:cs="Calibri" w:eastAsia="Calibri" w:hAnsi="Calibri"/>
                <w:b w:val="1"/>
                <w:color w:val="000000"/>
                <w:sz w:val="22"/>
                <w:szCs w:val="22"/>
                <w:rtl w:val="0"/>
              </w:rPr>
              <w:t xml:space="preserve">Supply, supply chain, transportation, and logistics</w:t>
            </w:r>
            <w:r w:rsidDel="00000000" w:rsidR="00000000" w:rsidRPr="00000000">
              <w:rPr>
                <w:rtl w:val="0"/>
              </w:rPr>
            </w:r>
          </w:p>
          <w:p w:rsidR="00000000" w:rsidDel="00000000" w:rsidP="00000000" w:rsidRDefault="00000000" w:rsidRPr="00000000" w14:paraId="000005E5">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Operational complexity (procurement, supply chain, logistics, communications, waste management)</w:t>
            </w:r>
          </w:p>
          <w:p w:rsidR="00000000" w:rsidDel="00000000" w:rsidP="00000000" w:rsidRDefault="00000000" w:rsidRPr="00000000" w14:paraId="000005E6">
            <w:pPr>
              <w:rPr>
                <w:rFonts w:ascii="Calibri" w:cs="Calibri" w:eastAsia="Calibri" w:hAnsi="Calibri"/>
                <w:color w:val="000000"/>
                <w:sz w:val="18"/>
                <w:szCs w:val="18"/>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E7">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E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Cold chain maintenance and supplies, waste management; It is not recommended to implement Multi-dose vial policy in mOPV2 (Monovalent type 2 oral polio vaccine) campaigns</w:t>
            </w:r>
            <w:r w:rsidDel="00000000" w:rsidR="00000000" w:rsidRPr="00000000">
              <w:rPr>
                <w:rFonts w:ascii="Calibri" w:cs="Calibri" w:eastAsia="Calibri" w:hAnsi="Calibri"/>
                <w:color w:val="000000"/>
                <w:sz w:val="20"/>
                <w:szCs w:val="20"/>
                <w:vertAlign w:val="superscript"/>
                <w:rtl w:val="0"/>
              </w:rPr>
              <w:t xml:space="preserve">12</w:t>
            </w:r>
            <w:r w:rsidDel="00000000" w:rsidR="00000000" w:rsidRPr="00000000">
              <w:rPr>
                <w:rFonts w:ascii="Calibri" w:cs="Calibri" w:eastAsia="Calibri" w:hAnsi="Calibri"/>
                <w:color w:val="000000"/>
                <w:sz w:val="20"/>
                <w:szCs w:val="20"/>
                <w:rtl w:val="0"/>
              </w:rPr>
              <w:t xml:space="preserve"> </w:t>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E9">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vMerge w:val="restart"/>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E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Bulkiness of ITNs, warehousing challenges; timeliness of ITN delivery and positioning in field given multiple procurement sources and methods</w:t>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EB">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E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Managed through national pharmacy with support from partners</w:t>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E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E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Manage through logistic management division of Ministry of Health and Provincial Health Directorate</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F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F2">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F3">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12"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F5">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F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Managed through Mectizan Donation Program, national pharmacy with support from partners</w:t>
            </w:r>
            <w:r w:rsidDel="00000000" w:rsidR="00000000" w:rsidRPr="00000000">
              <w:rPr>
                <w:rFonts w:ascii="Calibri" w:cs="Calibri" w:eastAsia="Calibri" w:hAnsi="Calibri"/>
                <w:color w:val="000000"/>
                <w:sz w:val="20"/>
                <w:szCs w:val="20"/>
                <w:vertAlign w:val="superscript"/>
                <w:rtl w:val="0"/>
              </w:rPr>
              <w:t xml:space="preserve">6</w:t>
            </w:r>
            <w:r w:rsidDel="00000000" w:rsidR="00000000" w:rsidRPr="00000000">
              <w:rPr>
                <w:rtl w:val="0"/>
              </w:rPr>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F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5F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Manage through logistic management division of Ministry of Health and Population and Provincial Health Directorate</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FB">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F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Cold chain maintenance, immunization supplies, waste management</w:t>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F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5F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Community health worker system must be highly functional in implementation area for success; ensuring availability of monthly sulfadoxine-pyrimethamine + amodiaquine supplies critical.  Timely delivery of supplies critical to match malaria season and 28-day interval between monthly administration of doses.  Drug supply delivery must occur during logistically challenging rainy season.</w:t>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5F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0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Managed through national pharmacy with support from partners</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0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0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Cold chain maintenance, immunization supplies, waste management</w:t>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07">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0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0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Must administer medication before measles immunization in campaign setting.</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0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1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Cold chain maintenance, immunization supplies, lyophilized vaccine—reconstitution with diluent.  Limited vaccine supply (demand increase, production problems), limited to 15m people per year for preventive campaigns; challenging in urban areas.  Need distribute immunization cards.</w:t>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11">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1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1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Managed through International Trachoma Initiative with support from governments and partners. </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12" w:val="single"/>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61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Monitoring and supervision</w:t>
            </w:r>
          </w:p>
          <w:p w:rsidR="00000000" w:rsidDel="00000000" w:rsidP="00000000" w:rsidRDefault="00000000" w:rsidRPr="00000000" w14:paraId="00000619">
            <w:pPr>
              <w:rPr>
                <w:rFonts w:ascii="Calibri" w:cs="Calibri" w:eastAsia="Calibri" w:hAnsi="Calibri"/>
                <w:b w:val="1"/>
                <w:color w:val="000000"/>
                <w:sz w:val="18"/>
                <w:szCs w:val="18"/>
              </w:rPr>
            </w:pPr>
            <w:r w:rsidDel="00000000" w:rsidR="00000000" w:rsidRPr="00000000">
              <w:rPr>
                <w:rtl w:val="0"/>
              </w:rPr>
            </w:r>
          </w:p>
          <w:p w:rsidR="00000000" w:rsidDel="00000000" w:rsidP="00000000" w:rsidRDefault="00000000" w:rsidRPr="00000000" w14:paraId="0000061A">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18"/>
                <w:szCs w:val="18"/>
                <w:rtl w:val="0"/>
              </w:rPr>
              <w:t xml:space="preserve">(Monitoring Post Campaign Adverse Events, capacity for &amp; commitment to monitoring/surveillance)</w:t>
            </w: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1B">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1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Independent monitoring with Lot quality assurance sampling or other established method; GIS mapping to locate catchment areas.  Cold chain and Adverse Event Following Immunization monitoring required.</w:t>
            </w:r>
          </w:p>
        </w:tc>
        <w:tc>
          <w:tcPr>
            <w:tcBorders>
              <w:top w:color="000000" w:space="0" w:sz="12"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61D">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tcMar>
              <w:top w:w="29.0" w:type="dxa"/>
              <w:left w:w="29.0" w:type="dxa"/>
              <w:bottom w:w="29.0" w:type="dxa"/>
              <w:right w:w="29.0" w:type="dxa"/>
            </w:tcMar>
          </w:tcPr>
          <w:p w:rsidR="00000000" w:rsidDel="00000000" w:rsidP="00000000" w:rsidRDefault="00000000" w:rsidRPr="00000000" w14:paraId="0000061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Promote engagement of both supervisors and independent monitors, depending on population served and number of campaign personnel overseen</w:t>
            </w:r>
          </w:p>
        </w:tc>
        <w:tc>
          <w:tcPr>
            <w:tcBorders>
              <w:top w:color="000000" w:space="0" w:sz="12"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1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2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Need monitor drug administration for difficulties swallowing</w:t>
            </w:r>
          </w:p>
          <w:p w:rsidR="00000000" w:rsidDel="00000000" w:rsidP="00000000" w:rsidRDefault="00000000" w:rsidRPr="00000000" w14:paraId="0000062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Supervision of community health workers managed through health system</w:t>
            </w:r>
          </w:p>
        </w:tc>
        <w:tc>
          <w:tcPr>
            <w:tcBorders>
              <w:top w:color="000000" w:space="0" w:sz="12" w:val="single"/>
              <w:left w:color="000000" w:space="0" w:sz="0" w:val="nil"/>
              <w:bottom w:color="000000" w:space="0" w:sz="6" w:val="single"/>
              <w:right w:color="000000" w:space="0" w:sz="4" w:val="single"/>
            </w:tcBorders>
            <w:tcMar>
              <w:top w:w="29.0" w:type="dxa"/>
              <w:left w:w="29.0" w:type="dxa"/>
              <w:bottom w:w="29.0" w:type="dxa"/>
              <w:right w:w="29.0" w:type="dxa"/>
            </w:tcMar>
          </w:tcPr>
          <w:p w:rsidR="00000000" w:rsidDel="00000000" w:rsidP="00000000" w:rsidRDefault="00000000" w:rsidRPr="00000000" w14:paraId="0000062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62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Supervision of community health workers managed through health system, Bi-annual review meetings with health service providers</w:t>
            </w:r>
          </w:p>
        </w:tc>
      </w:tr>
      <w:tr>
        <w:trPr>
          <w:trHeight w:val="295" w:hRule="atLeast"/>
        </w:trPr>
        <w:tc>
          <w:tcPr>
            <w:tcBorders>
              <w:top w:color="000000" w:space="0" w:sz="0" w:val="nil"/>
              <w:left w:color="000000" w:space="0" w:sz="12" w:val="single"/>
              <w:bottom w:color="000000" w:space="0" w:sz="0" w:val="nil"/>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625">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2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27">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28">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29">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2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2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Supervision of community health workers managed through health system</w:t>
            </w:r>
          </w:p>
        </w:tc>
        <w:tc>
          <w:tcPr>
            <w:vMerge w:val="restart"/>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62D">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62E">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0" w:val="nil"/>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62F">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3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3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SIA Readiness Assessment Tool; pre-SIA supervision &amp; monitoring; checklists; rapid convenience monitoring to find &amp; vaccinate any unreached children.  Cold chain and and Adverse Event Following Immunization monitoring required; Measles and Rubella Strategic Framework 2021-2030/IA2030</w:t>
            </w:r>
            <w:r w:rsidDel="00000000" w:rsidR="00000000" w:rsidRPr="00000000">
              <w:rPr>
                <w:rFonts w:ascii="Calibri" w:cs="Calibri" w:eastAsia="Calibri" w:hAnsi="Calibri"/>
                <w:color w:val="000000"/>
                <w:sz w:val="20"/>
                <w:szCs w:val="20"/>
                <w:vertAlign w:val="superscript"/>
                <w:rtl w:val="0"/>
              </w:rPr>
              <w:t xml:space="preserve">15</w:t>
            </w:r>
            <w:r w:rsidDel="00000000" w:rsidR="00000000" w:rsidRPr="00000000">
              <w:rPr>
                <w:rtl w:val="0"/>
              </w:rPr>
            </w:r>
          </w:p>
        </w:tc>
        <w:tc>
          <w:tcPr>
            <w:tcBorders>
              <w:top w:color="000000" w:space="0" w:sz="6" w:val="single"/>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63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3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Intense supervision needed given dosage requirements and 28-day timing interval, specific age range, importance of not giving SMC for children with fever at the time, and observing child for 30 minutes in case of vomiting.  Especially important for first cycle and first month to identify and address problems.</w:t>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3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3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Need monitor drug administration for difficulties swallowing</w:t>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0" w:val="nil"/>
              <w:left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3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3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Adverse Event Following Immunizations</w:t>
            </w:r>
          </w:p>
        </w:tc>
        <w:tc>
          <w:tcPr>
            <w:tcBorders>
              <w:top w:color="000000" w:space="0" w:sz="0" w:val="nil"/>
              <w:left w:color="000000" w:space="0" w:sz="12" w:val="single"/>
              <w:bottom w:color="000000" w:space="0" w:sz="0" w:val="nil"/>
              <w:right w:color="000000" w:space="0" w:sz="6" w:val="single"/>
            </w:tcBorders>
            <w:tcMar>
              <w:top w:w="29.0" w:type="dxa"/>
              <w:left w:w="29.0" w:type="dxa"/>
              <w:bottom w:w="29.0" w:type="dxa"/>
              <w:right w:w="29.0" w:type="dxa"/>
            </w:tcMar>
          </w:tcPr>
          <w:p w:rsidR="00000000" w:rsidDel="00000000" w:rsidP="00000000" w:rsidRDefault="00000000" w:rsidRPr="00000000" w14:paraId="0000063C">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tcMar>
              <w:top w:w="29.0" w:type="dxa"/>
              <w:left w:w="29.0" w:type="dxa"/>
              <w:bottom w:w="29.0" w:type="dxa"/>
              <w:right w:w="29.0" w:type="dxa"/>
            </w:tcMar>
          </w:tcPr>
          <w:p w:rsidR="00000000" w:rsidDel="00000000" w:rsidP="00000000" w:rsidRDefault="00000000" w:rsidRPr="00000000" w14:paraId="0000063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3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Need monitor drug administration for difficulties swallowing</w:t>
            </w:r>
            <w:r w:rsidDel="00000000" w:rsidR="00000000" w:rsidRPr="00000000">
              <w:rPr>
                <w:rFonts w:ascii="Calibri" w:cs="Calibri" w:eastAsia="Calibri" w:hAnsi="Calibri"/>
                <w:color w:val="000000"/>
                <w:sz w:val="20"/>
                <w:szCs w:val="20"/>
                <w:vertAlign w:val="superscript"/>
                <w:rtl w:val="0"/>
              </w:rPr>
              <w:t xml:space="preserve">11</w:t>
            </w:r>
            <w:r w:rsidDel="00000000" w:rsidR="00000000" w:rsidRPr="00000000">
              <w:rPr>
                <w:rtl w:val="0"/>
              </w:rPr>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tcBorders>
              <w:top w:color="000000" w:space="0" w:sz="0" w:val="nil"/>
              <w:left w:color="000000" w:space="0" w:sz="12" w:val="single"/>
              <w:bottom w:color="000000" w:space="0" w:sz="12" w:val="single"/>
              <w:right w:color="000000" w:space="0" w:sz="0" w:val="nil"/>
            </w:tcBorders>
            <w:tcMar>
              <w:top w:w="29.0" w:type="dxa"/>
              <w:left w:w="29.0" w:type="dxa"/>
              <w:bottom w:w="29.0" w:type="dxa"/>
              <w:right w:w="29.0" w:type="dxa"/>
            </w:tcMar>
            <w:vAlign w:val="center"/>
          </w:tcPr>
          <w:p w:rsidR="00000000" w:rsidDel="00000000" w:rsidP="00000000" w:rsidRDefault="00000000" w:rsidRPr="00000000" w14:paraId="00000643">
            <w:pPr>
              <w:rPr>
                <w:rFonts w:ascii="Calibri" w:cs="Calibri" w:eastAsia="Calibri" w:hAnsi="Calibri"/>
                <w:b w:val="1"/>
                <w:color w:val="000000"/>
                <w:sz w:val="22"/>
                <w:szCs w:val="22"/>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644">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64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Monitor for vaccine availability, injection safety, immunization card availability, cold chain, Adverse Event Following Immunization and reporting.  Strict border control.</w:t>
            </w:r>
          </w:p>
        </w:tc>
        <w:tc>
          <w:tcPr>
            <w:tcBorders>
              <w:top w:color="000000" w:space="0" w:sz="0" w:val="nil"/>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646">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tcMar>
              <w:top w:w="29.0" w:type="dxa"/>
              <w:left w:w="29.0" w:type="dxa"/>
              <w:bottom w:w="29.0" w:type="dxa"/>
              <w:right w:w="29.0" w:type="dxa"/>
            </w:tcMar>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tcMar>
              <w:top w:w="29.0" w:type="dxa"/>
              <w:left w:w="29.0" w:type="dxa"/>
              <w:bottom w:w="29.0" w:type="dxa"/>
              <w:right w:w="29.0" w:type="dxa"/>
            </w:tcMar>
          </w:tcPr>
          <w:p w:rsidR="00000000" w:rsidDel="00000000" w:rsidP="00000000" w:rsidRDefault="00000000" w:rsidRPr="00000000" w14:paraId="0000064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tcMar>
              <w:top w:w="29.0" w:type="dxa"/>
              <w:left w:w="29.0" w:type="dxa"/>
              <w:bottom w:w="29.0" w:type="dxa"/>
              <w:right w:w="29.0" w:type="dxa"/>
            </w:tcMar>
          </w:tcPr>
          <w:p w:rsidR="00000000" w:rsidDel="00000000" w:rsidP="00000000" w:rsidRDefault="00000000" w:rsidRPr="00000000" w14:paraId="0000064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Supervision of community health workers managed through health system</w:t>
            </w:r>
          </w:p>
          <w:p w:rsidR="00000000" w:rsidDel="00000000" w:rsidP="00000000" w:rsidRDefault="00000000" w:rsidRPr="00000000" w14:paraId="0000064A">
            <w:pPr>
              <w:rPr>
                <w:rFonts w:ascii="Calibri" w:cs="Calibri" w:eastAsia="Calibri" w:hAnsi="Calibri"/>
                <w:color w:val="000000"/>
                <w:sz w:val="20"/>
                <w:szCs w:val="20"/>
              </w:rPr>
            </w:pPr>
            <w:r w:rsidDel="00000000" w:rsidR="00000000" w:rsidRPr="00000000">
              <w:rPr>
                <w:rtl w:val="0"/>
              </w:rPr>
            </w:r>
          </w:p>
        </w:tc>
        <w:tc>
          <w:tcPr>
            <w:vMerge w:val="continue"/>
            <w:tcBorders>
              <w:top w:color="000000" w:space="0" w:sz="6" w:val="single"/>
              <w:left w:color="000000" w:space="0" w:sz="0" w:val="nil"/>
              <w:right w:color="000000" w:space="0" w:sz="4" w:val="single"/>
            </w:tcBorders>
            <w:tcMar>
              <w:top w:w="29.0" w:type="dxa"/>
              <w:left w:w="29.0" w:type="dxa"/>
              <w:bottom w:w="29.0" w:type="dxa"/>
              <w:right w:w="29.0" w:type="dxa"/>
            </w:tcMar>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9.0" w:type="dxa"/>
              <w:left w:w="29.0" w:type="dxa"/>
              <w:bottom w:w="29.0" w:type="dxa"/>
              <w:right w:w="29.0" w:type="dxa"/>
            </w:tcMar>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64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Data collection</w:t>
            </w:r>
          </w:p>
          <w:p w:rsidR="00000000" w:rsidDel="00000000" w:rsidP="00000000" w:rsidRDefault="00000000" w:rsidRPr="00000000" w14:paraId="0000064F">
            <w:pPr>
              <w:rPr>
                <w:rFonts w:ascii="Calibri" w:cs="Calibri" w:eastAsia="Calibri" w:hAnsi="Calibri"/>
                <w:b w:val="1"/>
                <w:color w:val="000000"/>
                <w:sz w:val="22"/>
                <w:szCs w:val="22"/>
              </w:rPr>
            </w:pPr>
            <w:r w:rsidDel="00000000" w:rsidR="00000000" w:rsidRPr="00000000">
              <w:rPr>
                <w:rtl w:val="0"/>
              </w:rPr>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50">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5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Tally sheets divided as 0-11 and 12-59 months; other recording strategies similar to measles campaigns.</w:t>
            </w:r>
          </w:p>
        </w:tc>
        <w:tc>
          <w:tcPr>
            <w:tcBorders>
              <w:top w:color="000000" w:space="0" w:sz="12"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5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12" w:val="single"/>
              <w:left w:color="000000" w:space="0" w:sz="6" w:val="single"/>
              <w:bottom w:color="000000" w:space="0" w:sz="0" w:val="nil"/>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5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Careful planning needed for data collection and analysis in integrated versus stand-alone campaigns.  GPS and electronic databases used more widely but need to reconcile multiple collection modalities implemented within countries.</w:t>
            </w:r>
          </w:p>
        </w:tc>
        <w:tc>
          <w:tcPr>
            <w:tcBorders>
              <w:top w:color="000000" w:space="0" w:sz="12"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5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12"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5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Drug treatment registers or tally sheets.</w:t>
            </w:r>
            <w:r w:rsidDel="00000000" w:rsidR="00000000" w:rsidRPr="00000000">
              <w:rPr>
                <w:rFonts w:ascii="Calibri" w:cs="Calibri" w:eastAsia="Calibri" w:hAnsi="Calibri"/>
                <w:color w:val="000000"/>
                <w:sz w:val="20"/>
                <w:szCs w:val="20"/>
                <w:vertAlign w:val="superscript"/>
                <w:rtl w:val="0"/>
              </w:rPr>
              <w:t xml:space="preserve">3</w:t>
            </w:r>
            <w:r w:rsidDel="00000000" w:rsidR="00000000" w:rsidRPr="00000000">
              <w:rPr>
                <w:rFonts w:ascii="Calibri" w:cs="Calibri" w:eastAsia="Calibri" w:hAnsi="Calibri"/>
                <w:color w:val="000000"/>
                <w:sz w:val="20"/>
                <w:szCs w:val="20"/>
                <w:rtl w:val="0"/>
              </w:rPr>
              <w:t xml:space="preserve">  </w:t>
            </w:r>
          </w:p>
        </w:tc>
        <w:tc>
          <w:tcPr>
            <w:tcBorders>
              <w:top w:color="000000" w:space="0" w:sz="12" w:val="single"/>
              <w:left w:color="000000" w:space="0" w:sz="0" w:val="nil"/>
              <w:bottom w:color="000000" w:space="0" w:sz="6"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57">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5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Vitamin A register filled by Female Community Health Volunteers in campaign and reported to higher level as per Health Management Information System reporting system</w:t>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5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5B">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5C">
            <w:pPr>
              <w:rPr>
                <w:rFonts w:ascii="Calibri" w:cs="Calibri" w:eastAsia="Calibri" w:hAnsi="Calibri"/>
                <w:b w:val="1"/>
                <w:color w:val="000000"/>
                <w:sz w:val="16"/>
                <w:szCs w:val="16"/>
              </w:rPr>
            </w:pPr>
            <w:r w:rsidDel="00000000" w:rsidR="00000000" w:rsidRPr="00000000">
              <w:rPr>
                <w:rtl w:val="0"/>
              </w:rPr>
            </w:r>
          </w:p>
        </w:tc>
        <w:tc>
          <w:tcPr>
            <w:tcBorders>
              <w:top w:color="000000" w:space="0" w:sz="0" w:val="nil"/>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5D">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5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5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Drug treatment registers or tally sheets.</w:t>
            </w:r>
            <w:r w:rsidDel="00000000" w:rsidR="00000000" w:rsidRPr="00000000">
              <w:rPr>
                <w:rFonts w:ascii="Calibri" w:cs="Calibri" w:eastAsia="Calibri" w:hAnsi="Calibri"/>
                <w:color w:val="000000"/>
                <w:sz w:val="20"/>
                <w:szCs w:val="20"/>
                <w:vertAlign w:val="superscript"/>
                <w:rtl w:val="0"/>
              </w:rPr>
              <w:t xml:space="preserve">13</w:t>
            </w:r>
            <w:r w:rsidDel="00000000" w:rsidR="00000000" w:rsidRPr="00000000">
              <w:rPr>
                <w:rFonts w:ascii="Calibri" w:cs="Calibri" w:eastAsia="Calibri" w:hAnsi="Calibri"/>
                <w:color w:val="000000"/>
                <w:sz w:val="20"/>
                <w:szCs w:val="20"/>
                <w:rtl w:val="0"/>
              </w:rPr>
              <w:t xml:space="preserve">   </w:t>
            </w:r>
          </w:p>
        </w:tc>
        <w:tc>
          <w:tcPr>
            <w:vMerge w:val="restart"/>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61">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6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Nutrition Register, Integrated Management of Acute Malnutrition register, Primary Health Care Outreach register, Female Community Health Volunteers register</w:t>
            </w:r>
          </w:p>
          <w:p w:rsidR="00000000" w:rsidDel="00000000" w:rsidP="00000000" w:rsidRDefault="00000000" w:rsidRPr="00000000" w14:paraId="00000663">
            <w:pPr>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65">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6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Review immunization cards/home-based records; tally sheets divided as 9-11 months, 1-4 years, 5-14 years; daily review meetings; daily reporting forms; data electronic input aggregated at district, provincial, national levels; testing and use of available and reliable technology encouraged, such as GPS to monitor geographic coverage.</w:t>
            </w:r>
          </w:p>
        </w:tc>
        <w:tc>
          <w:tcPr>
            <w:tcBorders>
              <w:top w:color="000000" w:space="0" w:sz="6" w:val="single"/>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67">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vMerge w:val="restart"/>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6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Simple registers and reporting forms must be developed for community health workers to complete; every child is provided with a SMC child card used to record monthly doses; quality control essential through supervision and monitoring. More and more countries are moving to electronic data collection forms.</w:t>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69">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6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Drug treatment registers or tally sheets.  </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6F">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7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Epidemic Meningitis A Supplementary Immunization Activity Readiness Assessment Tool; supervision and monitoring prior to the supplementary immunization activity; checklists; rapid convenience monitoring to find and immunize unaffected children. Independent monitoring with Lot Quality Assurance Sampling, Cold chain, and monitoring of adverse events after vaccination are important; Adverse Event Following Immunization notification and investigation forms</w:t>
            </w:r>
          </w:p>
          <w:p w:rsidR="00000000" w:rsidDel="00000000" w:rsidP="00000000" w:rsidRDefault="00000000" w:rsidRPr="00000000" w14:paraId="0000067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Monitor the level of preparations for online health district campaigns as practiced with polio national immunization days. Need to monitor administration of medication for swallowing difficulties</w:t>
            </w:r>
          </w:p>
        </w:tc>
        <w:tc>
          <w:tcPr>
            <w:tcBorders>
              <w:top w:color="000000" w:space="0" w:sz="0" w:val="nil"/>
              <w:left w:color="000000" w:space="0" w:sz="12" w:val="single"/>
              <w:bottom w:color="000000" w:space="0" w:sz="0" w:val="nil"/>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72">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7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7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Drug treatment registers or tally sheets.  </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top w:color="000000" w:space="0" w:sz="12" w:val="single"/>
              <w:left w:color="000000" w:space="0" w:sz="12" w:val="single"/>
              <w:right w:color="000000" w:space="0" w:sz="0" w:val="nil"/>
            </w:tcBorders>
            <w:shd w:fill="c0c0c0" w:val="clear"/>
            <w:tcMar>
              <w:top w:w="29.0" w:type="dxa"/>
              <w:left w:w="29.0" w:type="dxa"/>
              <w:bottom w:w="29.0" w:type="dxa"/>
              <w:right w:w="29.0" w:type="dxa"/>
            </w:tcMar>
            <w:vAlign w:val="center"/>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7A">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7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information.</w:t>
            </w:r>
          </w:p>
        </w:tc>
        <w:tc>
          <w:tcPr>
            <w:tcBorders>
              <w:top w:color="000000" w:space="0" w:sz="0" w:val="nil"/>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7C">
            <w:pPr>
              <w:rPr>
                <w:rFonts w:ascii="Calibri" w:cs="Calibri" w:eastAsia="Calibri" w:hAnsi="Calibri"/>
                <w:b w:val="1"/>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c0c0c0" w:val="clear"/>
            <w:tcMar>
              <w:top w:w="29.0" w:type="dxa"/>
              <w:left w:w="29.0" w:type="dxa"/>
              <w:bottom w:w="29.0" w:type="dxa"/>
              <w:right w:w="29.0" w:type="dxa"/>
            </w:tcMar>
          </w:tcPr>
          <w:p w:rsidR="00000000" w:rsidDel="00000000" w:rsidP="00000000" w:rsidRDefault="00000000" w:rsidRPr="00000000" w14:paraId="0000067E">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c0c0c0" w:val="clear"/>
            <w:tcMar>
              <w:top w:w="29.0" w:type="dxa"/>
              <w:left w:w="29.0" w:type="dxa"/>
              <w:bottom w:w="29.0" w:type="dxa"/>
              <w:right w:w="29.0" w:type="dxa"/>
            </w:tcMar>
          </w:tcPr>
          <w:p w:rsidR="00000000" w:rsidDel="00000000" w:rsidP="00000000" w:rsidRDefault="00000000" w:rsidRPr="00000000" w14:paraId="0000067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Drug treatment registers or tally sheets.  </w:t>
            </w:r>
          </w:p>
        </w:tc>
        <w:tc>
          <w:tcPr>
            <w:vMerge w:val="continue"/>
            <w:tcBorders>
              <w:top w:color="000000" w:space="0" w:sz="6" w:val="single"/>
              <w:left w:color="000000" w:space="0" w:sz="0" w:val="nil"/>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tcMar>
              <w:top w:w="29.0" w:type="dxa"/>
              <w:left w:w="29.0" w:type="dxa"/>
              <w:bottom w:w="29.0" w:type="dxa"/>
              <w:right w:w="29.0" w:type="dxa"/>
            </w:tcMar>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restart"/>
            <w:tcBorders>
              <w:left w:color="000000" w:space="0" w:sz="12" w:val="single"/>
              <w:right w:color="000000" w:space="0" w:sz="0" w:val="nil"/>
            </w:tcBorders>
            <w:shd w:fill="auto" w:val="clear"/>
            <w:tcMar>
              <w:top w:w="29.0" w:type="dxa"/>
              <w:left w:w="29.0" w:type="dxa"/>
              <w:bottom w:w="29.0" w:type="dxa"/>
              <w:right w:w="29.0" w:type="dxa"/>
            </w:tcMar>
            <w:vAlign w:val="center"/>
          </w:tcPr>
          <w:p w:rsidR="00000000" w:rsidDel="00000000" w:rsidP="00000000" w:rsidRDefault="00000000" w:rsidRPr="00000000" w14:paraId="0000068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Evaluation</w:t>
            </w:r>
          </w:p>
          <w:p w:rsidR="00000000" w:rsidDel="00000000" w:rsidP="00000000" w:rsidRDefault="00000000" w:rsidRPr="00000000" w14:paraId="00000684">
            <w:pPr>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Linkage to global/regional goals &amp; local/regional priorities</w:t>
            </w:r>
            <w:r w:rsidDel="00000000" w:rsidR="00000000" w:rsidRPr="00000000">
              <w:rPr>
                <w:rtl w:val="0"/>
              </w:rPr>
            </w:r>
          </w:p>
          <w:p w:rsidR="00000000" w:rsidDel="00000000" w:rsidP="00000000" w:rsidRDefault="00000000" w:rsidRPr="00000000" w14:paraId="00000685">
            <w:pPr>
              <w:rPr>
                <w:rFonts w:ascii="Calibri" w:cs="Calibri" w:eastAsia="Calibri" w:hAnsi="Calibri"/>
                <w:b w:val="1"/>
                <w:color w:val="000000"/>
              </w:rPr>
            </w:pPr>
            <w:r w:rsidDel="00000000" w:rsidR="00000000" w:rsidRPr="00000000">
              <w:rPr>
                <w:rFonts w:ascii="Calibri" w:cs="Calibri" w:eastAsia="Calibri" w:hAnsi="Calibri"/>
                <w:color w:val="000000"/>
                <w:sz w:val="18"/>
                <w:szCs w:val="18"/>
                <w:rtl w:val="0"/>
              </w:rPr>
              <w:t xml:space="preserve">Structural barriers</w:t>
            </w: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8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(OPV)</w:t>
            </w:r>
          </w:p>
        </w:tc>
        <w:tc>
          <w:tcPr>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8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Post national immunization days coverage surveys not recommended; focus on Acute Flaccid Paralysis surveillance for children &lt;15 years</w:t>
            </w:r>
          </w:p>
        </w:tc>
        <w:tc>
          <w:tcPr>
            <w:tcBorders>
              <w:top w:color="000000" w:space="0" w:sz="0" w:val="nil"/>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88">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INSECTICIDE-TREATED-NETS</w:t>
            </w:r>
          </w:p>
        </w:tc>
        <w:tc>
          <w:tcPr>
            <w:tcBorders>
              <w:top w:color="000000" w:space="0" w:sz="6" w:val="single"/>
              <w:left w:color="000000" w:space="0" w:sz="6"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8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Campaign quality: qualitative and/or quantitative process review, or post-campaign review meetings.</w:t>
            </w:r>
          </w:p>
          <w:p w:rsidR="00000000" w:rsidDel="00000000" w:rsidP="00000000" w:rsidRDefault="00000000" w:rsidRPr="00000000" w14:paraId="0000068A">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68B">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Outcomes (coverage, access, use): generally rely on existing schedule of population-based surveys such as Demographic Health Survey, Malaria Indicators Survey or Multiple Indicator Cluster Survey; if those are scheduled far in future, stand-alone post-campaign surveys conducted in rainy season per country guidance</w:t>
            </w: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8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LYMPHATIC FILARIASIS</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8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Periodic coverage surveys and impact assessments.</w:t>
            </w:r>
            <w:r w:rsidDel="00000000" w:rsidR="00000000" w:rsidRPr="00000000">
              <w:rPr>
                <w:rFonts w:ascii="Calibri" w:cs="Calibri" w:eastAsia="Calibri" w:hAnsi="Calibri"/>
                <w:color w:val="000000"/>
                <w:sz w:val="20"/>
                <w:szCs w:val="20"/>
                <w:vertAlign w:val="superscript"/>
                <w:rtl w:val="0"/>
              </w:rPr>
              <w:t xml:space="preserve">3</w:t>
            </w:r>
            <w:r w:rsidDel="00000000" w:rsidR="00000000" w:rsidRPr="00000000">
              <w:rPr>
                <w:rtl w:val="0"/>
              </w:rPr>
            </w:r>
          </w:p>
        </w:tc>
        <w:tc>
          <w:tcPr>
            <w:tcBorders>
              <w:top w:color="000000" w:space="0" w:sz="6" w:val="single"/>
              <w:left w:color="000000" w:space="0" w:sz="0" w:val="nil"/>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16"/>
                <w:szCs w:val="16"/>
                <w:rtl w:val="0"/>
              </w:rPr>
              <w:t xml:space="preserve">VITAMIN A</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90">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Population-based coverage surveys (e.g., Demographic and Health Surveys, Multiple Indicator Cluster Survey</w:t>
            </w:r>
          </w:p>
        </w:tc>
      </w:tr>
      <w:tr>
        <w:trPr>
          <w:trHeight w:val="295" w:hRule="atLeast"/>
        </w:trPr>
        <w:tc>
          <w:tcPr>
            <w:vMerge w:val="continue"/>
            <w:tcBorders>
              <w:left w:color="000000" w:space="0" w:sz="12" w:val="single"/>
              <w:right w:color="000000" w:space="0" w:sz="0" w:val="nil"/>
            </w:tcBorders>
            <w:shd w:fill="auto" w:val="clear"/>
            <w:tcMar>
              <w:top w:w="29.0" w:type="dxa"/>
              <w:left w:w="29.0" w:type="dxa"/>
              <w:bottom w:w="29.0" w:type="dxa"/>
              <w:right w:w="29.0" w:type="dxa"/>
            </w:tcMar>
            <w:vAlign w:val="center"/>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92">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POLIO (IPV)</w:t>
            </w:r>
          </w:p>
        </w:tc>
        <w:tc>
          <w:tcPr>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93">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94">
            <w:pPr>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6"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95">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96">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ONCHOCERCIASIS</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9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Impact surveys carried out after many years of mass drug administration</w:t>
            </w:r>
          </w:p>
        </w:tc>
        <w:tc>
          <w:tcPr>
            <w:vMerge w:val="restart"/>
            <w:tcBorders>
              <w:top w:color="000000" w:space="0" w:sz="6" w:val="single"/>
              <w:left w:color="000000" w:space="0" w:sz="0" w:val="nil"/>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MALNUTRITION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9A">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National level survey: Demographic and Health Surveys, Multiple Indicator Cluster Survey, Medical nutritional supplements</w:t>
            </w:r>
          </w:p>
        </w:tc>
      </w:tr>
      <w:tr>
        <w:trPr>
          <w:trHeight w:val="295" w:hRule="atLeast"/>
        </w:trPr>
        <w:tc>
          <w:tcPr>
            <w:vMerge w:val="continue"/>
            <w:tcBorders>
              <w:left w:color="000000" w:space="0" w:sz="12" w:val="single"/>
              <w:right w:color="000000" w:space="0" w:sz="0" w:val="nil"/>
            </w:tcBorders>
            <w:shd w:fill="auto" w:val="clear"/>
            <w:tcMar>
              <w:top w:w="29.0" w:type="dxa"/>
              <w:left w:w="29.0" w:type="dxa"/>
              <w:bottom w:w="29.0" w:type="dxa"/>
              <w:right w:w="29.0" w:type="dxa"/>
            </w:tcMar>
            <w:vAlign w:val="center"/>
          </w:tcPr>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9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MEASLES</w:t>
            </w:r>
          </w:p>
        </w:tc>
        <w:tc>
          <w:tcPr>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Post-supplementary immunization activity independent monitoring using rapid coverage monitoring to find unvaccinated children and target mop-up activities immediately post-campaign; coverage surveys soon after SIA if population-based survey (Demographic Health Survey , Ministry of Industry, Commerce, and Supplies, stand-along Expanded Program of Immunization survey) not done for a few years and one not planned for few years</w:t>
            </w:r>
          </w:p>
        </w:tc>
        <w:tc>
          <w:tcPr>
            <w:tcBorders>
              <w:top w:color="000000" w:space="0" w:sz="0" w:val="nil"/>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9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SEASONAL-MALARIA-CHEMOPREVENTION</w:t>
            </w:r>
          </w:p>
        </w:tc>
        <w:tc>
          <w:tcPr>
            <w:tcBorders>
              <w:top w:color="000000" w:space="0" w:sz="6" w:val="single"/>
              <w:left w:color="000000" w:space="0" w:sz="6"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established method for monitoring programmatic effectiveness as of 2013 guidance.  Potential random sampling of children for parasitemia during second or third course to determine “breakthrough infections” after first course. Post-campaign coverage surveys to evaluate for example the coverage per monthly cycle, adherence to home doses 2 &amp; 3, treatment of older children, caregiver SMC knowledge, and intervals between cycles</w:t>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A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SCHISTOSOMIASIS</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A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Impact surveys after 3-5 years of mass drug administration</w:t>
            </w:r>
          </w:p>
        </w:tc>
        <w:tc>
          <w:tcPr>
            <w:vMerge w:val="continue"/>
            <w:tcBorders>
              <w:top w:color="000000" w:space="0" w:sz="6" w:val="single"/>
              <w:left w:color="000000" w:space="0" w:sz="0" w:val="nil"/>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left w:color="000000" w:space="0" w:sz="12" w:val="single"/>
              <w:right w:color="000000" w:space="0" w:sz="0" w:val="nil"/>
            </w:tcBorders>
            <w:shd w:fill="auto" w:val="clear"/>
            <w:tcMar>
              <w:top w:w="29.0" w:type="dxa"/>
              <w:left w:w="29.0" w:type="dxa"/>
              <w:bottom w:w="29.0" w:type="dxa"/>
              <w:right w:w="29.0" w:type="dxa"/>
            </w:tcMar>
            <w:vAlign w:val="center"/>
          </w:tcPr>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A6">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MENINGITIS</w:t>
            </w:r>
          </w:p>
        </w:tc>
        <w:tc>
          <w:tcPr>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A7">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A8">
            <w:pPr>
              <w:rPr>
                <w:rFonts w:ascii="Calibri" w:cs="Calibri" w:eastAsia="Calibri" w:hAnsi="Calibri"/>
                <w:b w:val="1"/>
                <w:color w:val="000000"/>
                <w:sz w:val="16"/>
                <w:szCs w:val="16"/>
              </w:rPr>
            </w:pPr>
            <w:r w:rsidDel="00000000" w:rsidR="00000000" w:rsidRPr="00000000">
              <w:rPr>
                <w:rtl w:val="0"/>
              </w:rPr>
            </w:r>
          </w:p>
        </w:tc>
        <w:tc>
          <w:tcPr>
            <w:tcBorders>
              <w:top w:color="000000" w:space="0" w:sz="6" w:val="single"/>
              <w:left w:color="000000" w:space="0" w:sz="6"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A9">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A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SOIL-TRANSMITTED </w:t>
              <w:br w:type="textWrapping"/>
              <w:t xml:space="preserve">HELMINTHS</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A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Population-based coverage surveys e.g., Demographic and Health Surveys, Multiple Indicator Cluster Survey</w:t>
            </w:r>
          </w:p>
          <w:p w:rsidR="00000000" w:rsidDel="00000000" w:rsidP="00000000" w:rsidRDefault="00000000" w:rsidRPr="00000000" w14:paraId="000006A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Impact surveys after 3-5 years of mass drug administration</w:t>
            </w:r>
          </w:p>
        </w:tc>
        <w:tc>
          <w:tcPr>
            <w:vMerge w:val="continue"/>
            <w:tcBorders>
              <w:top w:color="000000" w:space="0" w:sz="6" w:val="single"/>
              <w:left w:color="000000" w:space="0" w:sz="0" w:val="nil"/>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trHeight w:val="295" w:hRule="atLeast"/>
        </w:trPr>
        <w:tc>
          <w:tcPr>
            <w:vMerge w:val="continue"/>
            <w:tcBorders>
              <w:left w:color="000000" w:space="0" w:sz="12" w:val="single"/>
              <w:right w:color="000000" w:space="0" w:sz="0" w:val="nil"/>
            </w:tcBorders>
            <w:shd w:fill="auto" w:val="clear"/>
            <w:tcMar>
              <w:top w:w="29.0" w:type="dxa"/>
              <w:left w:w="29.0" w:type="dxa"/>
              <w:bottom w:w="29.0" w:type="dxa"/>
              <w:right w:w="29.0" w:type="dxa"/>
            </w:tcMar>
            <w:vAlign w:val="center"/>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B1">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YELLOW FEVER</w:t>
            </w:r>
          </w:p>
        </w:tc>
        <w:tc>
          <w:tcPr>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B2">
            <w:pP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B3">
            <w:pPr>
              <w:rPr>
                <w:rFonts w:ascii="Calibri" w:cs="Calibri" w:eastAsia="Calibri" w:hAnsi="Calibri"/>
                <w:b w:val="1"/>
                <w:color w:val="000000"/>
                <w:sz w:val="20"/>
                <w:szCs w:val="20"/>
              </w:rPr>
            </w:pPr>
            <w:r w:rsidDel="00000000" w:rsidR="00000000" w:rsidRPr="00000000">
              <w:rPr>
                <w:rtl w:val="0"/>
              </w:rPr>
            </w:r>
          </w:p>
        </w:tc>
        <w:tc>
          <w:tcPr>
            <w:tcBorders>
              <w:top w:color="000000" w:space="0" w:sz="6" w:val="single"/>
              <w:left w:color="000000" w:space="0" w:sz="6"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B4">
            <w:pPr>
              <w:rPr>
                <w:rFonts w:ascii="Calibri" w:cs="Calibri" w:eastAsia="Calibri" w:hAnsi="Calibri"/>
                <w:color w:val="000000"/>
                <w:sz w:val="20"/>
                <w:szCs w:val="20"/>
              </w:rPr>
            </w:pPr>
            <w:r w:rsidDel="00000000" w:rsidR="00000000" w:rsidRPr="00000000">
              <w:rPr>
                <w:rtl w:val="0"/>
              </w:rPr>
            </w:r>
          </w:p>
        </w:tc>
        <w:tc>
          <w:tcPr>
            <w:tcBorders>
              <w:top w:color="000000" w:space="0" w:sz="6" w:val="single"/>
              <w:left w:color="000000" w:space="0" w:sz="12" w:val="single"/>
              <w:bottom w:color="000000" w:space="0" w:sz="12" w:val="single"/>
              <w:right w:color="000000" w:space="0" w:sz="6" w:val="single"/>
            </w:tcBorders>
            <w:shd w:fill="auto" w:val="clear"/>
            <w:tcMar>
              <w:top w:w="29.0" w:type="dxa"/>
              <w:left w:w="29.0" w:type="dxa"/>
              <w:bottom w:w="29.0" w:type="dxa"/>
              <w:right w:w="29.0" w:type="dxa"/>
            </w:tcMar>
          </w:tcPr>
          <w:p w:rsidR="00000000" w:rsidDel="00000000" w:rsidP="00000000" w:rsidRDefault="00000000" w:rsidRPr="00000000" w14:paraId="000006B5">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16"/>
                <w:szCs w:val="16"/>
                <w:rtl w:val="0"/>
              </w:rPr>
              <w:t xml:space="preserve">TRACHOMA</w:t>
            </w:r>
            <w:r w:rsidDel="00000000" w:rsidR="00000000" w:rsidRPr="00000000">
              <w:rPr>
                <w:rtl w:val="0"/>
              </w:rPr>
            </w:r>
          </w:p>
        </w:tc>
        <w:tc>
          <w:tcPr>
            <w:gridSpan w:val="2"/>
            <w:tcBorders>
              <w:top w:color="000000" w:space="0" w:sz="6" w:val="single"/>
              <w:left w:color="000000" w:space="0" w:sz="6" w:val="single"/>
              <w:bottom w:color="000000" w:space="0" w:sz="12" w:val="single"/>
              <w:right w:color="000000" w:space="0" w:sz="12" w:val="single"/>
            </w:tcBorders>
            <w:shd w:fill="auto" w:val="clear"/>
            <w:tcMar>
              <w:top w:w="29.0" w:type="dxa"/>
              <w:left w:w="29.0" w:type="dxa"/>
              <w:bottom w:w="29.0" w:type="dxa"/>
              <w:right w:w="29.0" w:type="dxa"/>
            </w:tcMar>
          </w:tcPr>
          <w:p w:rsidR="00000000" w:rsidDel="00000000" w:rsidP="00000000" w:rsidRDefault="00000000" w:rsidRPr="00000000" w14:paraId="000006B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Impact surveys after 3-5 years of mass drug administration</w:t>
            </w:r>
          </w:p>
        </w:tc>
        <w:tc>
          <w:tcPr>
            <w:vMerge w:val="continue"/>
            <w:tcBorders>
              <w:top w:color="000000" w:space="0" w:sz="6" w:val="single"/>
              <w:left w:color="000000" w:space="0" w:sz="0" w:val="nil"/>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Mar>
              <w:top w:w="29.0" w:type="dxa"/>
              <w:left w:w="29.0" w:type="dxa"/>
              <w:bottom w:w="29.0" w:type="dxa"/>
              <w:right w:w="29.0" w:type="dxa"/>
            </w:tcMar>
          </w:tcPr>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6BA">
      <w:pPr>
        <w:rPr>
          <w:b w:val="1"/>
          <w:color w:val="000000"/>
        </w:rPr>
      </w:pPr>
      <w:r w:rsidDel="00000000" w:rsidR="00000000" w:rsidRPr="00000000">
        <w:rPr>
          <w:rtl w:val="0"/>
        </w:rPr>
      </w:r>
    </w:p>
    <w:p w:rsidR="00000000" w:rsidDel="00000000" w:rsidP="00000000" w:rsidRDefault="00000000" w:rsidRPr="00000000" w14:paraId="000006BB">
      <w:pPr>
        <w:rPr>
          <w:b w:val="1"/>
          <w:color w:val="000000"/>
        </w:rPr>
      </w:pPr>
      <w:r w:rsidDel="00000000" w:rsidR="00000000" w:rsidRPr="00000000">
        <w:rPr>
          <w:rtl w:val="0"/>
        </w:rPr>
      </w:r>
    </w:p>
    <w:p w:rsidR="00000000" w:rsidDel="00000000" w:rsidP="00000000" w:rsidRDefault="00000000" w:rsidRPr="00000000" w14:paraId="000006BC">
      <w:pPr>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BD">
      <w:pPr>
        <w:pStyle w:val="Heading1"/>
        <w:jc w:val="center"/>
        <w:rPr>
          <w:rFonts w:ascii="Calibri" w:cs="Calibri" w:eastAsia="Calibri" w:hAnsi="Calibri"/>
          <w:b w:val="1"/>
          <w:color w:val="000000"/>
        </w:rPr>
      </w:pPr>
      <w:bookmarkStart w:colFirst="0" w:colLast="0" w:name="_heading=h.3as4poj" w:id="19"/>
      <w:bookmarkEnd w:id="19"/>
      <w:r w:rsidDel="00000000" w:rsidR="00000000" w:rsidRPr="00000000">
        <w:rPr>
          <w:rFonts w:ascii="Calibri" w:cs="Calibri" w:eastAsia="Calibri" w:hAnsi="Calibri"/>
          <w:b w:val="1"/>
          <w:color w:val="000000"/>
          <w:rtl w:val="0"/>
        </w:rPr>
        <w:t xml:space="preserve">Appendix C: Key Categories of Considerations for Campaign Integration</w:t>
      </w:r>
    </w:p>
    <w:p w:rsidR="00000000" w:rsidDel="00000000" w:rsidP="00000000" w:rsidRDefault="00000000" w:rsidRPr="00000000" w14:paraId="000006BE">
      <w:pPr>
        <w:rPr/>
      </w:pPr>
      <w:r w:rsidDel="00000000" w:rsidR="00000000" w:rsidRPr="00000000">
        <w:rPr>
          <w:rtl w:val="0"/>
        </w:rPr>
      </w:r>
    </w:p>
    <w:tbl>
      <w:tblPr>
        <w:tblStyle w:val="Table7"/>
        <w:tblW w:w="17905.0"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75"/>
        <w:gridCol w:w="16830"/>
        <w:tblGridChange w:id="0">
          <w:tblGrid>
            <w:gridCol w:w="1075"/>
            <w:gridCol w:w="16830"/>
          </w:tblGrid>
        </w:tblGridChange>
      </w:tblGrid>
      <w:tr>
        <w:tc>
          <w:tcPr/>
          <w:p w:rsidR="00000000" w:rsidDel="00000000" w:rsidP="00000000" w:rsidRDefault="00000000" w:rsidRPr="00000000" w14:paraId="000006BF">
            <w:pPr>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48640" cy="458470"/>
                  <wp:effectExtent b="0" l="0" r="0" t="0"/>
                  <wp:wrapSquare wrapText="bothSides" distB="0" distT="0" distL="0" distR="0"/>
                  <wp:docPr id="294"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548640" cy="458470"/>
                          </a:xfrm>
                          <a:prstGeom prst="rect"/>
                          <a:ln/>
                        </pic:spPr>
                      </pic:pic>
                    </a:graphicData>
                  </a:graphic>
                </wp:anchor>
              </w:drawing>
            </w:r>
          </w:p>
        </w:tc>
        <w:tc>
          <w:tcPr/>
          <w:p w:rsidR="00000000" w:rsidDel="00000000" w:rsidP="00000000" w:rsidRDefault="00000000" w:rsidRPr="00000000" w14:paraId="000006C0">
            <w:pPr>
              <w:rPr>
                <w:rFonts w:ascii="Calibri" w:cs="Calibri" w:eastAsia="Calibri" w:hAnsi="Calibri"/>
                <w:b w:val="1"/>
                <w:color w:val="004aad"/>
                <w:sz w:val="22"/>
                <w:szCs w:val="22"/>
              </w:rPr>
            </w:pPr>
            <w:r w:rsidDel="00000000" w:rsidR="00000000" w:rsidRPr="00000000">
              <w:rPr>
                <w:rFonts w:ascii="Calibri" w:cs="Calibri" w:eastAsia="Calibri" w:hAnsi="Calibri"/>
                <w:b w:val="1"/>
                <w:color w:val="004aad"/>
                <w:sz w:val="22"/>
                <w:szCs w:val="22"/>
                <w:rtl w:val="0"/>
              </w:rPr>
              <w:t xml:space="preserve">FEASIBILITY</w:t>
            </w:r>
          </w:p>
          <w:p w:rsidR="00000000" w:rsidDel="00000000" w:rsidP="00000000" w:rsidRDefault="00000000" w:rsidRPr="00000000" w14:paraId="000006C1">
            <w:pPr>
              <w:rPr>
                <w:rFonts w:ascii="Calibri" w:cs="Calibri" w:eastAsia="Calibri" w:hAnsi="Calibri"/>
                <w:color w:val="004aad"/>
                <w:sz w:val="22"/>
                <w:szCs w:val="22"/>
              </w:rPr>
            </w:pPr>
            <w:r w:rsidDel="00000000" w:rsidR="00000000" w:rsidRPr="00000000">
              <w:rPr>
                <w:rFonts w:ascii="Calibri" w:cs="Calibri" w:eastAsia="Calibri" w:hAnsi="Calibri"/>
                <w:color w:val="000000"/>
                <w:sz w:val="22"/>
                <w:szCs w:val="22"/>
                <w:rtl w:val="0"/>
              </w:rPr>
              <w:t xml:space="preserve">Operational and financial viability of integrating the interventions.</w:t>
            </w:r>
            <w:r w:rsidDel="00000000" w:rsidR="00000000" w:rsidRPr="00000000">
              <w:rPr>
                <w:rtl w:val="0"/>
              </w:rPr>
            </w:r>
          </w:p>
          <w:p w:rsidR="00000000" w:rsidDel="00000000" w:rsidP="00000000" w:rsidRDefault="00000000" w:rsidRPr="00000000" w14:paraId="000006C2">
            <w:pPr>
              <w:rPr>
                <w:b w:val="1"/>
                <w:color w:val="004aad"/>
                <w:sz w:val="22"/>
                <w:szCs w:val="22"/>
              </w:rPr>
            </w:pPr>
            <w:r w:rsidDel="00000000" w:rsidR="00000000" w:rsidRPr="00000000">
              <w:rPr>
                <w:rtl w:val="0"/>
              </w:rPr>
            </w:r>
          </w:p>
        </w:tc>
      </w:tr>
      <w:tr>
        <w:tc>
          <w:tcPr/>
          <w:p w:rsidR="00000000" w:rsidDel="00000000" w:rsidP="00000000" w:rsidRDefault="00000000" w:rsidRPr="00000000" w14:paraId="000006C3">
            <w:pPr>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48640" cy="521970"/>
                  <wp:effectExtent b="0" l="0" r="0" t="0"/>
                  <wp:wrapSquare wrapText="bothSides" distB="0" distT="0" distL="0" distR="0"/>
                  <wp:docPr id="304"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548640" cy="521970"/>
                          </a:xfrm>
                          <a:prstGeom prst="rect"/>
                          <a:ln/>
                        </pic:spPr>
                      </pic:pic>
                    </a:graphicData>
                  </a:graphic>
                </wp:anchor>
              </w:drawing>
            </w:r>
          </w:p>
        </w:tc>
        <w:tc>
          <w:tcPr/>
          <w:p w:rsidR="00000000" w:rsidDel="00000000" w:rsidP="00000000" w:rsidRDefault="00000000" w:rsidRPr="00000000" w14:paraId="000006C4">
            <w:pPr>
              <w:rPr>
                <w:rFonts w:ascii="Calibri" w:cs="Calibri" w:eastAsia="Calibri" w:hAnsi="Calibri"/>
                <w:b w:val="1"/>
                <w:color w:val="004aad"/>
                <w:sz w:val="22"/>
                <w:szCs w:val="22"/>
              </w:rPr>
            </w:pPr>
            <w:r w:rsidDel="00000000" w:rsidR="00000000" w:rsidRPr="00000000">
              <w:rPr>
                <w:rFonts w:ascii="Calibri" w:cs="Calibri" w:eastAsia="Calibri" w:hAnsi="Calibri"/>
                <w:b w:val="1"/>
                <w:color w:val="004aad"/>
                <w:sz w:val="22"/>
                <w:szCs w:val="22"/>
                <w:rtl w:val="0"/>
              </w:rPr>
              <w:t xml:space="preserve">ACCEPTABILITY</w:t>
            </w:r>
          </w:p>
          <w:p w:rsidR="00000000" w:rsidDel="00000000" w:rsidP="00000000" w:rsidRDefault="00000000" w:rsidRPr="00000000" w14:paraId="000006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Integrated interventions are acceptable to the community and health workers.</w:t>
            </w:r>
          </w:p>
        </w:tc>
      </w:tr>
      <w:tr>
        <w:tc>
          <w:tcPr/>
          <w:p w:rsidR="00000000" w:rsidDel="00000000" w:rsidP="00000000" w:rsidRDefault="00000000" w:rsidRPr="00000000" w14:paraId="000006C6">
            <w:pPr>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60426</wp:posOffset>
                  </wp:positionV>
                  <wp:extent cx="548640" cy="527685"/>
                  <wp:effectExtent b="0" l="0" r="0" t="0"/>
                  <wp:wrapSquare wrapText="bothSides" distB="0" distT="0" distL="0" distR="0"/>
                  <wp:docPr id="291"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548640" cy="527685"/>
                          </a:xfrm>
                          <a:prstGeom prst="rect"/>
                          <a:ln/>
                        </pic:spPr>
                      </pic:pic>
                    </a:graphicData>
                  </a:graphic>
                </wp:anchor>
              </w:drawing>
            </w:r>
          </w:p>
        </w:tc>
        <w:tc>
          <w:tcPr/>
          <w:p w:rsidR="00000000" w:rsidDel="00000000" w:rsidP="00000000" w:rsidRDefault="00000000" w:rsidRPr="00000000" w14:paraId="000006C7">
            <w:pPr>
              <w:rPr>
                <w:rFonts w:ascii="Calibri" w:cs="Calibri" w:eastAsia="Calibri" w:hAnsi="Calibri"/>
                <w:b w:val="1"/>
                <w:color w:val="004aad"/>
                <w:sz w:val="22"/>
                <w:szCs w:val="22"/>
              </w:rPr>
            </w:pPr>
            <w:r w:rsidDel="00000000" w:rsidR="00000000" w:rsidRPr="00000000">
              <w:rPr>
                <w:rFonts w:ascii="Calibri" w:cs="Calibri" w:eastAsia="Calibri" w:hAnsi="Calibri"/>
                <w:b w:val="1"/>
                <w:color w:val="004aad"/>
                <w:sz w:val="22"/>
                <w:szCs w:val="22"/>
                <w:rtl w:val="0"/>
              </w:rPr>
              <w:t xml:space="preserve">ACCOUNTABILITY</w:t>
            </w:r>
          </w:p>
          <w:p w:rsidR="00000000" w:rsidDel="00000000" w:rsidP="00000000" w:rsidRDefault="00000000" w:rsidRPr="00000000" w14:paraId="000006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obligation to report or give account of one’s actions, for example, to a governing authority through scrutiny, contract, management and regulation or to an electorate” (WHO and UNICEF 2020). In the context of integrated campaigns, it is having clearly defined roles, responsibilities, and monitoring and evaluation strategies to assess outcomes pre- and post-co-delivery/collaboration (e.g., coverage and utilization rates, disease occurrence, quality, acceptability of services).</w:t>
            </w:r>
          </w:p>
          <w:p w:rsidR="00000000" w:rsidDel="00000000" w:rsidP="00000000" w:rsidRDefault="00000000" w:rsidRPr="00000000" w14:paraId="000006C9">
            <w:pPr>
              <w:rPr>
                <w:rFonts w:ascii="Calibri" w:cs="Calibri" w:eastAsia="Calibri" w:hAnsi="Calibri"/>
                <w:color w:val="000000"/>
                <w:sz w:val="22"/>
                <w:szCs w:val="22"/>
              </w:rPr>
            </w:pPr>
            <w:r w:rsidDel="00000000" w:rsidR="00000000" w:rsidRPr="00000000">
              <w:rPr>
                <w:rtl w:val="0"/>
              </w:rPr>
            </w:r>
          </w:p>
        </w:tc>
      </w:tr>
      <w:tr>
        <w:tc>
          <w:tcPr/>
          <w:p w:rsidR="00000000" w:rsidDel="00000000" w:rsidP="00000000" w:rsidRDefault="00000000" w:rsidRPr="00000000" w14:paraId="000006CA">
            <w:pPr>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508</wp:posOffset>
                  </wp:positionV>
                  <wp:extent cx="548640" cy="483235"/>
                  <wp:effectExtent b="0" l="0" r="0" t="0"/>
                  <wp:wrapSquare wrapText="bothSides" distB="0" distT="0" distL="0" distR="0"/>
                  <wp:docPr id="289"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548640" cy="483235"/>
                          </a:xfrm>
                          <a:prstGeom prst="rect"/>
                          <a:ln/>
                        </pic:spPr>
                      </pic:pic>
                    </a:graphicData>
                  </a:graphic>
                </wp:anchor>
              </w:drawing>
            </w:r>
          </w:p>
        </w:tc>
        <w:tc>
          <w:tcPr/>
          <w:p w:rsidR="00000000" w:rsidDel="00000000" w:rsidP="00000000" w:rsidRDefault="00000000" w:rsidRPr="00000000" w14:paraId="000006CB">
            <w:pPr>
              <w:rPr>
                <w:rFonts w:ascii="Calibri" w:cs="Calibri" w:eastAsia="Calibri" w:hAnsi="Calibri"/>
                <w:b w:val="1"/>
                <w:color w:val="004aad"/>
                <w:sz w:val="22"/>
                <w:szCs w:val="22"/>
              </w:rPr>
            </w:pPr>
            <w:r w:rsidDel="00000000" w:rsidR="00000000" w:rsidRPr="00000000">
              <w:rPr>
                <w:rFonts w:ascii="Calibri" w:cs="Calibri" w:eastAsia="Calibri" w:hAnsi="Calibri"/>
                <w:b w:val="1"/>
                <w:color w:val="004aad"/>
                <w:sz w:val="22"/>
                <w:szCs w:val="22"/>
                <w:rtl w:val="0"/>
              </w:rPr>
              <w:t xml:space="preserve">CONTEXT</w:t>
            </w:r>
          </w:p>
          <w:p w:rsidR="00000000" w:rsidDel="00000000" w:rsidP="00000000" w:rsidRDefault="00000000" w:rsidRPr="00000000" w14:paraId="000006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circumstances that influence the co-delivery/collaboration decision, such as geographical setting (rural or urban areas), target population of the interventions, political will to promote co-delivery/collaboration among different interventions, existing health care structures for the delivery of interventions; monitoring responsibilities for each intervention, and availability and ability of health workers to work on multiple interventions at the same time.</w:t>
            </w:r>
          </w:p>
          <w:p w:rsidR="00000000" w:rsidDel="00000000" w:rsidP="00000000" w:rsidRDefault="00000000" w:rsidRPr="00000000" w14:paraId="000006CD">
            <w:pPr>
              <w:rPr>
                <w:rFonts w:ascii="Calibri" w:cs="Calibri" w:eastAsia="Calibri" w:hAnsi="Calibri"/>
                <w:color w:val="000000"/>
                <w:sz w:val="22"/>
                <w:szCs w:val="22"/>
              </w:rPr>
            </w:pPr>
            <w:r w:rsidDel="00000000" w:rsidR="00000000" w:rsidRPr="00000000">
              <w:rPr>
                <w:rtl w:val="0"/>
              </w:rPr>
            </w:r>
          </w:p>
        </w:tc>
      </w:tr>
      <w:tr>
        <w:tc>
          <w:tcPr/>
          <w:p w:rsidR="00000000" w:rsidDel="00000000" w:rsidP="00000000" w:rsidRDefault="00000000" w:rsidRPr="00000000" w14:paraId="000006CE">
            <w:pPr>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153</wp:posOffset>
                  </wp:positionV>
                  <wp:extent cx="548640" cy="476250"/>
                  <wp:effectExtent b="0" l="0" r="0" t="0"/>
                  <wp:wrapSquare wrapText="bothSides" distB="0" distT="0" distL="0" distR="0"/>
                  <wp:docPr id="297"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548640" cy="476250"/>
                          </a:xfrm>
                          <a:prstGeom prst="rect"/>
                          <a:ln/>
                        </pic:spPr>
                      </pic:pic>
                    </a:graphicData>
                  </a:graphic>
                </wp:anchor>
              </w:drawing>
            </w:r>
          </w:p>
        </w:tc>
        <w:tc>
          <w:tcPr/>
          <w:p w:rsidR="00000000" w:rsidDel="00000000" w:rsidP="00000000" w:rsidRDefault="00000000" w:rsidRPr="00000000" w14:paraId="000006CF">
            <w:pPr>
              <w:rPr>
                <w:rFonts w:ascii="Calibri" w:cs="Calibri" w:eastAsia="Calibri" w:hAnsi="Calibri"/>
                <w:b w:val="1"/>
                <w:color w:val="004aad"/>
                <w:sz w:val="22"/>
                <w:szCs w:val="22"/>
              </w:rPr>
            </w:pPr>
            <w:r w:rsidDel="00000000" w:rsidR="00000000" w:rsidRPr="00000000">
              <w:rPr>
                <w:rFonts w:ascii="Calibri" w:cs="Calibri" w:eastAsia="Calibri" w:hAnsi="Calibri"/>
                <w:b w:val="1"/>
                <w:color w:val="004aad"/>
                <w:sz w:val="22"/>
                <w:szCs w:val="22"/>
                <w:rtl w:val="0"/>
              </w:rPr>
              <w:t xml:space="preserve">COMPATIBILITY</w:t>
            </w:r>
          </w:p>
          <w:p w:rsidR="00000000" w:rsidDel="00000000" w:rsidP="00000000" w:rsidRDefault="00000000" w:rsidRPr="00000000" w14:paraId="000006D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Alignment between different intervention components and shared campaign characteristics, such as overlaps in the target population, type of intervention, seasonality of the disease, timing and frequency of service delivery; procurement, supply chain, and logistics mechanisms and timing, behavior change requirements and skill level and training of health workers.</w:t>
            </w:r>
          </w:p>
          <w:p w:rsidR="00000000" w:rsidDel="00000000" w:rsidP="00000000" w:rsidRDefault="00000000" w:rsidRPr="00000000" w14:paraId="000006D1">
            <w:pPr>
              <w:rPr>
                <w:b w:val="1"/>
                <w:color w:val="004aad"/>
                <w:sz w:val="22"/>
                <w:szCs w:val="22"/>
              </w:rPr>
            </w:pPr>
            <w:r w:rsidDel="00000000" w:rsidR="00000000" w:rsidRPr="00000000">
              <w:rPr>
                <w:rtl w:val="0"/>
              </w:rPr>
            </w:r>
          </w:p>
        </w:tc>
      </w:tr>
      <w:tr>
        <w:tc>
          <w:tcPr/>
          <w:p w:rsidR="00000000" w:rsidDel="00000000" w:rsidP="00000000" w:rsidRDefault="00000000" w:rsidRPr="00000000" w14:paraId="000006D2">
            <w:pPr>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182245</wp:posOffset>
                  </wp:positionV>
                  <wp:extent cx="548640" cy="453390"/>
                  <wp:effectExtent b="0" l="0" r="0" t="0"/>
                  <wp:wrapSquare wrapText="bothSides" distB="0" distT="0" distL="0" distR="0"/>
                  <wp:docPr id="307" name="image25.png"/>
                  <a:graphic>
                    <a:graphicData uri="http://schemas.openxmlformats.org/drawingml/2006/picture">
                      <pic:pic>
                        <pic:nvPicPr>
                          <pic:cNvPr id="0" name="image25.png"/>
                          <pic:cNvPicPr preferRelativeResize="0"/>
                        </pic:nvPicPr>
                        <pic:blipFill>
                          <a:blip r:embed="rId48"/>
                          <a:srcRect b="0" l="0" r="0" t="0"/>
                          <a:stretch>
                            <a:fillRect/>
                          </a:stretch>
                        </pic:blipFill>
                        <pic:spPr>
                          <a:xfrm>
                            <a:off x="0" y="0"/>
                            <a:ext cx="548640" cy="453390"/>
                          </a:xfrm>
                          <a:prstGeom prst="rect"/>
                          <a:ln/>
                        </pic:spPr>
                      </pic:pic>
                    </a:graphicData>
                  </a:graphic>
                </wp:anchor>
              </w:drawing>
            </w:r>
          </w:p>
        </w:tc>
        <w:tc>
          <w:tcPr/>
          <w:p w:rsidR="00000000" w:rsidDel="00000000" w:rsidP="00000000" w:rsidRDefault="00000000" w:rsidRPr="00000000" w14:paraId="000006D3">
            <w:pPr>
              <w:rPr>
                <w:rFonts w:ascii="Calibri" w:cs="Calibri" w:eastAsia="Calibri" w:hAnsi="Calibri"/>
                <w:b w:val="1"/>
                <w:color w:val="004aad"/>
                <w:sz w:val="22"/>
                <w:szCs w:val="22"/>
              </w:rPr>
            </w:pPr>
            <w:r w:rsidDel="00000000" w:rsidR="00000000" w:rsidRPr="00000000">
              <w:rPr>
                <w:rFonts w:ascii="Calibri" w:cs="Calibri" w:eastAsia="Calibri" w:hAnsi="Calibri"/>
                <w:b w:val="1"/>
                <w:color w:val="004aad"/>
                <w:sz w:val="22"/>
                <w:szCs w:val="22"/>
                <w:rtl w:val="0"/>
              </w:rPr>
              <w:t xml:space="preserve">EQUITY</w:t>
            </w:r>
          </w:p>
          <w:p w:rsidR="00000000" w:rsidDel="00000000" w:rsidP="00000000" w:rsidRDefault="00000000" w:rsidRPr="00000000" w14:paraId="000006D4">
            <w:pPr>
              <w:rPr>
                <w:b w:val="1"/>
                <w:color w:val="004aad"/>
                <w:sz w:val="22"/>
                <w:szCs w:val="22"/>
              </w:rPr>
            </w:pPr>
            <w:r w:rsidDel="00000000" w:rsidR="00000000" w:rsidRPr="00000000">
              <w:rPr>
                <w:rFonts w:ascii="Calibri" w:cs="Calibri" w:eastAsia="Calibri" w:hAnsi="Calibri"/>
                <w:color w:val="000000"/>
                <w:sz w:val="22"/>
                <w:szCs w:val="22"/>
                <w:rtl w:val="0"/>
              </w:rPr>
              <w:t xml:space="preserve">“The absence of systematic or potentially remediable differences in health status, access to health care and health-enhancing environments, and treatment in one or more aspects of health across populations or population groups defined socially, economically, demographically or geographically within and across countries” (WHO and UNICEF 2020). Integrated campaigns should not reduce service access among vulnerable groups, and should provide high-quality interventions uniformly and in a fair and impartial manner to all target populations including underserved groups.</w:t>
            </w:r>
            <w:r w:rsidDel="00000000" w:rsidR="00000000" w:rsidRPr="00000000">
              <w:rPr>
                <w:rtl w:val="0"/>
              </w:rPr>
            </w:r>
          </w:p>
        </w:tc>
      </w:tr>
    </w:tbl>
    <w:p w:rsidR="00000000" w:rsidDel="00000000" w:rsidP="00000000" w:rsidRDefault="00000000" w:rsidRPr="00000000" w14:paraId="000006D5">
      <w:pPr>
        <w:rPr/>
      </w:pPr>
      <w:r w:rsidDel="00000000" w:rsidR="00000000" w:rsidRPr="00000000">
        <w:br w:type="page"/>
      </w:r>
      <w:r w:rsidDel="00000000" w:rsidR="00000000" w:rsidRPr="00000000">
        <w:rPr>
          <w:rtl w:val="0"/>
        </w:rPr>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pStyle w:val="Heading1"/>
        <w:jc w:val="center"/>
        <w:rPr>
          <w:rFonts w:ascii="Calibri" w:cs="Calibri" w:eastAsia="Calibri" w:hAnsi="Calibri"/>
          <w:color w:val="000000"/>
        </w:rPr>
      </w:pPr>
      <w:bookmarkStart w:colFirst="0" w:colLast="0" w:name="_heading=h.1pxezwc" w:id="20"/>
      <w:bookmarkEnd w:id="20"/>
      <w:r w:rsidDel="00000000" w:rsidR="00000000" w:rsidRPr="00000000">
        <w:rPr>
          <w:rFonts w:ascii="Calibri" w:cs="Calibri" w:eastAsia="Calibri" w:hAnsi="Calibri"/>
          <w:b w:val="1"/>
          <w:color w:val="000000"/>
          <w:rtl w:val="0"/>
        </w:rPr>
        <w:t xml:space="preserve">Abbreviations/Acronyms</w:t>
      </w:r>
      <w:r w:rsidDel="00000000" w:rsidR="00000000" w:rsidRPr="00000000">
        <w:rPr>
          <w:rtl w:val="0"/>
        </w:rPr>
      </w:r>
    </w:p>
    <w:p w:rsidR="00000000" w:rsidDel="00000000" w:rsidP="00000000" w:rsidRDefault="00000000" w:rsidRPr="00000000" w14:paraId="000006D8">
      <w:pPr>
        <w:rPr/>
      </w:pPr>
      <w:r w:rsidDel="00000000" w:rsidR="00000000" w:rsidRPr="00000000">
        <w:rPr>
          <w:rtl w:val="0"/>
        </w:rPr>
      </w:r>
    </w:p>
    <w:tbl>
      <w:tblPr>
        <w:tblStyle w:val="Table8"/>
        <w:tblW w:w="14585.0" w:type="dxa"/>
        <w:jc w:val="left"/>
        <w:tblInd w:w="143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50"/>
        <w:gridCol w:w="6285"/>
        <w:gridCol w:w="20"/>
        <w:gridCol w:w="1080"/>
        <w:gridCol w:w="5850"/>
        <w:tblGridChange w:id="0">
          <w:tblGrid>
            <w:gridCol w:w="1350"/>
            <w:gridCol w:w="6285"/>
            <w:gridCol w:w="20"/>
            <w:gridCol w:w="1080"/>
            <w:gridCol w:w="5850"/>
          </w:tblGrid>
        </w:tblGridChange>
      </w:tblGrid>
      <w:tr>
        <w:trPr>
          <w:trHeight w:val="245" w:hRule="atLeast"/>
        </w:trPr>
        <w:tc>
          <w:tcPr>
            <w:vAlign w:val="center"/>
          </w:tcPr>
          <w:p w:rsidR="00000000" w:rsidDel="00000000" w:rsidP="00000000" w:rsidRDefault="00000000" w:rsidRPr="00000000" w14:paraId="000006D9">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AEFI</w:t>
            </w:r>
            <w:r w:rsidDel="00000000" w:rsidR="00000000" w:rsidRPr="00000000">
              <w:rPr>
                <w:rtl w:val="0"/>
              </w:rPr>
            </w:r>
          </w:p>
        </w:tc>
        <w:tc>
          <w:tcPr>
            <w:vAlign w:val="center"/>
          </w:tcPr>
          <w:p w:rsidR="00000000" w:rsidDel="00000000" w:rsidP="00000000" w:rsidRDefault="00000000" w:rsidRPr="00000000" w14:paraId="000006D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Adverse Event Following Immunization</w:t>
            </w:r>
            <w:r w:rsidDel="00000000" w:rsidR="00000000" w:rsidRPr="00000000">
              <w:rPr>
                <w:rtl w:val="0"/>
              </w:rPr>
            </w:r>
          </w:p>
        </w:tc>
        <w:tc>
          <w:tcPr/>
          <w:p w:rsidR="00000000" w:rsidDel="00000000" w:rsidP="00000000" w:rsidRDefault="00000000" w:rsidRPr="00000000" w14:paraId="000006DB">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D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MIS</w:t>
            </w:r>
          </w:p>
        </w:tc>
        <w:tc>
          <w:tcPr>
            <w:vAlign w:val="center"/>
          </w:tcPr>
          <w:p w:rsidR="00000000" w:rsidDel="00000000" w:rsidP="00000000" w:rsidRDefault="00000000" w:rsidRPr="00000000" w14:paraId="000006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Malaria Indicators Survey</w:t>
            </w:r>
          </w:p>
        </w:tc>
      </w:tr>
      <w:tr>
        <w:trPr>
          <w:trHeight w:val="245" w:hRule="atLeast"/>
        </w:trPr>
        <w:tc>
          <w:tcPr>
            <w:vAlign w:val="center"/>
          </w:tcPr>
          <w:p w:rsidR="00000000" w:rsidDel="00000000" w:rsidP="00000000" w:rsidRDefault="00000000" w:rsidRPr="00000000" w14:paraId="000006D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AFP</w:t>
            </w:r>
          </w:p>
        </w:tc>
        <w:tc>
          <w:tcPr>
            <w:vAlign w:val="center"/>
          </w:tcPr>
          <w:p w:rsidR="00000000" w:rsidDel="00000000" w:rsidP="00000000" w:rsidRDefault="00000000" w:rsidRPr="00000000" w14:paraId="000006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Acute Flaccid Paralysis </w:t>
            </w:r>
          </w:p>
        </w:tc>
        <w:tc>
          <w:tcPr/>
          <w:p w:rsidR="00000000" w:rsidDel="00000000" w:rsidP="00000000" w:rsidRDefault="00000000" w:rsidRPr="00000000" w14:paraId="000006E0">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E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MMRV</w:t>
            </w:r>
          </w:p>
        </w:tc>
        <w:tc>
          <w:tcPr>
            <w:vAlign w:val="center"/>
          </w:tcPr>
          <w:p w:rsidR="00000000" w:rsidDel="00000000" w:rsidP="00000000" w:rsidRDefault="00000000" w:rsidRPr="00000000" w14:paraId="000006E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Measles, Mumps, Rubella, Varicella</w:t>
            </w:r>
          </w:p>
        </w:tc>
      </w:tr>
      <w:tr>
        <w:trPr>
          <w:trHeight w:val="245" w:hRule="atLeast"/>
        </w:trPr>
        <w:tc>
          <w:tcPr>
            <w:vAlign w:val="center"/>
          </w:tcPr>
          <w:p w:rsidR="00000000" w:rsidDel="00000000" w:rsidP="00000000" w:rsidRDefault="00000000" w:rsidRPr="00000000" w14:paraId="000006E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ALB</w:t>
            </w:r>
          </w:p>
        </w:tc>
        <w:tc>
          <w:tcPr>
            <w:vAlign w:val="center"/>
          </w:tcPr>
          <w:p w:rsidR="00000000" w:rsidDel="00000000" w:rsidP="00000000" w:rsidRDefault="00000000" w:rsidRPr="00000000" w14:paraId="000006E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Albendazole</w:t>
            </w:r>
          </w:p>
        </w:tc>
        <w:tc>
          <w:tcPr/>
          <w:p w:rsidR="00000000" w:rsidDel="00000000" w:rsidP="00000000" w:rsidRDefault="00000000" w:rsidRPr="00000000" w14:paraId="000006E5">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E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MoH</w:t>
            </w:r>
          </w:p>
        </w:tc>
        <w:tc>
          <w:tcPr>
            <w:vAlign w:val="center"/>
          </w:tcPr>
          <w:p w:rsidR="00000000" w:rsidDel="00000000" w:rsidP="00000000" w:rsidRDefault="00000000" w:rsidRPr="00000000" w14:paraId="000006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Ministry of Health</w:t>
            </w:r>
          </w:p>
        </w:tc>
      </w:tr>
      <w:tr>
        <w:trPr>
          <w:trHeight w:val="245" w:hRule="atLeast"/>
        </w:trPr>
        <w:tc>
          <w:tcPr>
            <w:vAlign w:val="center"/>
          </w:tcPr>
          <w:p w:rsidR="00000000" w:rsidDel="00000000" w:rsidP="00000000" w:rsidRDefault="00000000" w:rsidRPr="00000000" w14:paraId="000006E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BCG</w:t>
            </w:r>
          </w:p>
        </w:tc>
        <w:tc>
          <w:tcPr>
            <w:vAlign w:val="center"/>
          </w:tcPr>
          <w:p w:rsidR="00000000" w:rsidDel="00000000" w:rsidP="00000000" w:rsidRDefault="00000000" w:rsidRPr="00000000" w14:paraId="000006E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Bacillus Calmette–Guérin vaccine primarily used against tuberculosis</w:t>
            </w:r>
          </w:p>
        </w:tc>
        <w:tc>
          <w:tcPr/>
          <w:p w:rsidR="00000000" w:rsidDel="00000000" w:rsidP="00000000" w:rsidRDefault="00000000" w:rsidRPr="00000000" w14:paraId="000006EA">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E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mOPV2</w:t>
            </w:r>
          </w:p>
        </w:tc>
        <w:tc>
          <w:tcPr>
            <w:vAlign w:val="center"/>
          </w:tcPr>
          <w:p w:rsidR="00000000" w:rsidDel="00000000" w:rsidP="00000000" w:rsidRDefault="00000000" w:rsidRPr="00000000" w14:paraId="000006E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Monovalent Type 2 Oral Polio Vaccine</w:t>
            </w:r>
          </w:p>
        </w:tc>
      </w:tr>
      <w:tr>
        <w:trPr>
          <w:trHeight w:val="245" w:hRule="atLeast"/>
        </w:trPr>
        <w:tc>
          <w:tcPr>
            <w:vAlign w:val="center"/>
          </w:tcPr>
          <w:p w:rsidR="00000000" w:rsidDel="00000000" w:rsidP="00000000" w:rsidRDefault="00000000" w:rsidRPr="00000000" w14:paraId="000006E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CDC</w:t>
            </w:r>
          </w:p>
        </w:tc>
        <w:tc>
          <w:tcPr>
            <w:vAlign w:val="center"/>
          </w:tcPr>
          <w:p w:rsidR="00000000" w:rsidDel="00000000" w:rsidP="00000000" w:rsidRDefault="00000000" w:rsidRPr="00000000" w14:paraId="000006E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U.S. Centers for Disease Control and Prevention</w:t>
            </w:r>
          </w:p>
        </w:tc>
        <w:tc>
          <w:tcPr/>
          <w:p w:rsidR="00000000" w:rsidDel="00000000" w:rsidP="00000000" w:rsidRDefault="00000000" w:rsidRPr="00000000" w14:paraId="000006EF">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F0">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MOV</w:t>
            </w:r>
            <w:r w:rsidDel="00000000" w:rsidR="00000000" w:rsidRPr="00000000">
              <w:rPr>
                <w:rtl w:val="0"/>
              </w:rPr>
            </w:r>
          </w:p>
        </w:tc>
        <w:tc>
          <w:tcPr>
            <w:vAlign w:val="center"/>
          </w:tcPr>
          <w:p w:rsidR="00000000" w:rsidDel="00000000" w:rsidP="00000000" w:rsidRDefault="00000000" w:rsidRPr="00000000" w14:paraId="000006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Missed Opportunities for Vaccination</w:t>
            </w:r>
          </w:p>
        </w:tc>
      </w:tr>
      <w:tr>
        <w:trPr>
          <w:trHeight w:val="245" w:hRule="atLeast"/>
        </w:trPr>
        <w:tc>
          <w:tcPr>
            <w:vAlign w:val="center"/>
          </w:tcPr>
          <w:p w:rsidR="00000000" w:rsidDel="00000000" w:rsidP="00000000" w:rsidRDefault="00000000" w:rsidRPr="00000000" w14:paraId="000006F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CHD</w:t>
            </w:r>
          </w:p>
        </w:tc>
        <w:tc>
          <w:tcPr>
            <w:vAlign w:val="center"/>
          </w:tcPr>
          <w:p w:rsidR="00000000" w:rsidDel="00000000" w:rsidP="00000000" w:rsidRDefault="00000000" w:rsidRPr="00000000" w14:paraId="000006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 Health Day</w:t>
            </w:r>
          </w:p>
        </w:tc>
        <w:tc>
          <w:tcPr/>
          <w:p w:rsidR="00000000" w:rsidDel="00000000" w:rsidP="00000000" w:rsidRDefault="00000000" w:rsidRPr="00000000" w14:paraId="000006F4">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F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NID</w:t>
            </w:r>
          </w:p>
        </w:tc>
        <w:tc>
          <w:tcPr>
            <w:vAlign w:val="center"/>
          </w:tcPr>
          <w:p w:rsidR="00000000" w:rsidDel="00000000" w:rsidP="00000000" w:rsidRDefault="00000000" w:rsidRPr="00000000" w14:paraId="000006F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National Immunization Day</w:t>
            </w:r>
          </w:p>
        </w:tc>
      </w:tr>
      <w:tr>
        <w:trPr>
          <w:trHeight w:val="245" w:hRule="atLeast"/>
        </w:trPr>
        <w:tc>
          <w:tcPr>
            <w:vAlign w:val="center"/>
          </w:tcPr>
          <w:p w:rsidR="00000000" w:rsidDel="00000000" w:rsidP="00000000" w:rsidRDefault="00000000" w:rsidRPr="00000000" w14:paraId="000006F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cMYP</w:t>
            </w:r>
          </w:p>
        </w:tc>
        <w:tc>
          <w:tcPr>
            <w:vAlign w:val="center"/>
          </w:tcPr>
          <w:p w:rsidR="00000000" w:rsidDel="00000000" w:rsidP="00000000" w:rsidRDefault="00000000" w:rsidRPr="00000000" w14:paraId="000006F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Comprehensive Multi-Year Strategic Plans </w:t>
            </w:r>
          </w:p>
        </w:tc>
        <w:tc>
          <w:tcPr/>
          <w:p w:rsidR="00000000" w:rsidDel="00000000" w:rsidP="00000000" w:rsidRDefault="00000000" w:rsidRPr="00000000" w14:paraId="000006F9">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F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ONCHO</w:t>
            </w:r>
            <w:r w:rsidDel="00000000" w:rsidR="00000000" w:rsidRPr="00000000">
              <w:rPr>
                <w:rtl w:val="0"/>
              </w:rPr>
            </w:r>
          </w:p>
        </w:tc>
        <w:tc>
          <w:tcPr>
            <w:vAlign w:val="center"/>
          </w:tcPr>
          <w:p w:rsidR="00000000" w:rsidDel="00000000" w:rsidP="00000000" w:rsidRDefault="00000000" w:rsidRPr="00000000" w14:paraId="000006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Onchocerciasis</w:t>
            </w:r>
          </w:p>
        </w:tc>
      </w:tr>
      <w:tr>
        <w:trPr>
          <w:trHeight w:val="245" w:hRule="atLeast"/>
        </w:trPr>
        <w:tc>
          <w:tcPr>
            <w:vAlign w:val="center"/>
          </w:tcPr>
          <w:p w:rsidR="00000000" w:rsidDel="00000000" w:rsidP="00000000" w:rsidRDefault="00000000" w:rsidRPr="00000000" w14:paraId="000006F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DEC</w:t>
            </w:r>
          </w:p>
        </w:tc>
        <w:tc>
          <w:tcPr>
            <w:vAlign w:val="center"/>
          </w:tcPr>
          <w:p w:rsidR="00000000" w:rsidDel="00000000" w:rsidP="00000000" w:rsidRDefault="00000000" w:rsidRPr="00000000" w14:paraId="000006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Diethylcarbamazine (citrate)</w:t>
            </w:r>
          </w:p>
        </w:tc>
        <w:tc>
          <w:tcPr/>
          <w:p w:rsidR="00000000" w:rsidDel="00000000" w:rsidP="00000000" w:rsidRDefault="00000000" w:rsidRPr="00000000" w14:paraId="000006FE">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6FF">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OPV</w:t>
            </w:r>
            <w:r w:rsidDel="00000000" w:rsidR="00000000" w:rsidRPr="00000000">
              <w:rPr>
                <w:rtl w:val="0"/>
              </w:rPr>
            </w:r>
          </w:p>
        </w:tc>
        <w:tc>
          <w:tcPr>
            <w:vAlign w:val="center"/>
          </w:tcPr>
          <w:p w:rsidR="00000000" w:rsidDel="00000000" w:rsidP="00000000" w:rsidRDefault="00000000" w:rsidRPr="00000000" w14:paraId="0000070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Oral Polio Vaccine</w:t>
            </w:r>
          </w:p>
        </w:tc>
      </w:tr>
      <w:tr>
        <w:trPr>
          <w:trHeight w:val="245" w:hRule="atLeast"/>
        </w:trPr>
        <w:tc>
          <w:tcPr>
            <w:vAlign w:val="center"/>
          </w:tcPr>
          <w:p w:rsidR="00000000" w:rsidDel="00000000" w:rsidP="00000000" w:rsidRDefault="00000000" w:rsidRPr="00000000" w14:paraId="0000070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DOT</w:t>
            </w:r>
          </w:p>
        </w:tc>
        <w:tc>
          <w:tcPr>
            <w:vAlign w:val="center"/>
          </w:tcPr>
          <w:p w:rsidR="00000000" w:rsidDel="00000000" w:rsidP="00000000" w:rsidRDefault="00000000" w:rsidRPr="00000000" w14:paraId="0000070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Directly Observed Therapy</w:t>
            </w:r>
          </w:p>
        </w:tc>
        <w:tc>
          <w:tcPr/>
          <w:p w:rsidR="00000000" w:rsidDel="00000000" w:rsidP="00000000" w:rsidRDefault="00000000" w:rsidRPr="00000000" w14:paraId="00000703">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0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PECS</w:t>
            </w:r>
          </w:p>
        </w:tc>
        <w:tc>
          <w:tcPr>
            <w:vAlign w:val="center"/>
          </w:tcPr>
          <w:p w:rsidR="00000000" w:rsidDel="00000000" w:rsidP="00000000" w:rsidRDefault="00000000" w:rsidRPr="00000000" w14:paraId="000007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Post Event Coverage Survey</w:t>
            </w:r>
          </w:p>
        </w:tc>
      </w:tr>
      <w:tr>
        <w:trPr>
          <w:trHeight w:val="245" w:hRule="atLeast"/>
        </w:trPr>
        <w:tc>
          <w:tcPr>
            <w:vAlign w:val="center"/>
          </w:tcPr>
          <w:p w:rsidR="00000000" w:rsidDel="00000000" w:rsidP="00000000" w:rsidRDefault="00000000" w:rsidRPr="00000000" w14:paraId="0000070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DHS </w:t>
            </w:r>
          </w:p>
        </w:tc>
        <w:tc>
          <w:tcPr>
            <w:vAlign w:val="center"/>
          </w:tcPr>
          <w:p w:rsidR="00000000" w:rsidDel="00000000" w:rsidP="00000000" w:rsidRDefault="00000000" w:rsidRPr="00000000" w14:paraId="000007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Demographic and Health Surveys</w:t>
            </w:r>
          </w:p>
        </w:tc>
        <w:tc>
          <w:tcPr/>
          <w:p w:rsidR="00000000" w:rsidDel="00000000" w:rsidP="00000000" w:rsidRDefault="00000000" w:rsidRPr="00000000" w14:paraId="00000708">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0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POS</w:t>
            </w:r>
            <w:r w:rsidDel="00000000" w:rsidR="00000000" w:rsidRPr="00000000">
              <w:rPr>
                <w:rtl w:val="0"/>
              </w:rPr>
            </w:r>
          </w:p>
        </w:tc>
        <w:tc>
          <w:tcPr>
            <w:vAlign w:val="center"/>
          </w:tcPr>
          <w:p w:rsidR="00000000" w:rsidDel="00000000" w:rsidP="00000000" w:rsidRDefault="00000000" w:rsidRPr="00000000" w14:paraId="0000070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Pediatric Oral Suspension</w:t>
            </w:r>
          </w:p>
        </w:tc>
      </w:tr>
      <w:tr>
        <w:trPr>
          <w:trHeight w:val="245" w:hRule="atLeast"/>
        </w:trPr>
        <w:tc>
          <w:tcPr>
            <w:vAlign w:val="center"/>
          </w:tcPr>
          <w:p w:rsidR="00000000" w:rsidDel="00000000" w:rsidP="00000000" w:rsidRDefault="00000000" w:rsidRPr="00000000" w14:paraId="0000070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GAVA</w:t>
            </w:r>
          </w:p>
        </w:tc>
        <w:tc>
          <w:tcPr>
            <w:vAlign w:val="center"/>
          </w:tcPr>
          <w:p w:rsidR="00000000" w:rsidDel="00000000" w:rsidP="00000000" w:rsidRDefault="00000000" w:rsidRPr="00000000" w14:paraId="0000070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Global Alliance for Vitamin A</w:t>
            </w:r>
          </w:p>
        </w:tc>
        <w:tc>
          <w:tcPr/>
          <w:p w:rsidR="00000000" w:rsidDel="00000000" w:rsidP="00000000" w:rsidRDefault="00000000" w:rsidRPr="00000000" w14:paraId="0000070D">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0E">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PZQ</w:t>
            </w:r>
            <w:r w:rsidDel="00000000" w:rsidR="00000000" w:rsidRPr="00000000">
              <w:rPr>
                <w:rtl w:val="0"/>
              </w:rPr>
            </w:r>
          </w:p>
        </w:tc>
        <w:tc>
          <w:tcPr>
            <w:vAlign w:val="center"/>
          </w:tcPr>
          <w:p w:rsidR="00000000" w:rsidDel="00000000" w:rsidP="00000000" w:rsidRDefault="00000000" w:rsidRPr="00000000" w14:paraId="000007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Praziquantel</w:t>
            </w:r>
          </w:p>
        </w:tc>
      </w:tr>
      <w:tr>
        <w:trPr>
          <w:trHeight w:val="245" w:hRule="atLeast"/>
        </w:trPr>
        <w:tc>
          <w:tcPr>
            <w:vAlign w:val="center"/>
          </w:tcPr>
          <w:p w:rsidR="00000000" w:rsidDel="00000000" w:rsidP="00000000" w:rsidRDefault="00000000" w:rsidRPr="00000000" w14:paraId="0000071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GPS</w:t>
            </w:r>
          </w:p>
        </w:tc>
        <w:tc>
          <w:tcPr>
            <w:vAlign w:val="center"/>
          </w:tcPr>
          <w:p w:rsidR="00000000" w:rsidDel="00000000" w:rsidP="00000000" w:rsidRDefault="00000000" w:rsidRPr="00000000" w14:paraId="000007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Global Positioning System</w:t>
            </w:r>
          </w:p>
        </w:tc>
        <w:tc>
          <w:tcPr/>
          <w:p w:rsidR="00000000" w:rsidDel="00000000" w:rsidP="00000000" w:rsidRDefault="00000000" w:rsidRPr="00000000" w14:paraId="00000712">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13">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RI</w:t>
            </w:r>
            <w:r w:rsidDel="00000000" w:rsidR="00000000" w:rsidRPr="00000000">
              <w:rPr>
                <w:rtl w:val="0"/>
              </w:rPr>
            </w:r>
          </w:p>
        </w:tc>
        <w:tc>
          <w:tcPr>
            <w:vAlign w:val="center"/>
          </w:tcPr>
          <w:p w:rsidR="00000000" w:rsidDel="00000000" w:rsidP="00000000" w:rsidRDefault="00000000" w:rsidRPr="00000000" w14:paraId="0000071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Routine Immunization</w:t>
            </w:r>
          </w:p>
        </w:tc>
      </w:tr>
      <w:tr>
        <w:trPr>
          <w:trHeight w:val="245" w:hRule="atLeast"/>
        </w:trPr>
        <w:tc>
          <w:tcPr>
            <w:vAlign w:val="center"/>
          </w:tcPr>
          <w:p w:rsidR="00000000" w:rsidDel="00000000" w:rsidP="00000000" w:rsidRDefault="00000000" w:rsidRPr="00000000" w14:paraId="0000071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HCD</w:t>
            </w:r>
          </w:p>
        </w:tc>
        <w:tc>
          <w:tcPr>
            <w:vAlign w:val="center"/>
          </w:tcPr>
          <w:p w:rsidR="00000000" w:rsidDel="00000000" w:rsidP="00000000" w:rsidRDefault="00000000" w:rsidRPr="00000000" w14:paraId="0000071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Human Centered Design</w:t>
            </w:r>
          </w:p>
        </w:tc>
        <w:tc>
          <w:tcPr/>
          <w:p w:rsidR="00000000" w:rsidDel="00000000" w:rsidP="00000000" w:rsidRDefault="00000000" w:rsidRPr="00000000" w14:paraId="00000717">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1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SAE</w:t>
            </w:r>
          </w:p>
        </w:tc>
        <w:tc>
          <w:tcPr>
            <w:vAlign w:val="center"/>
          </w:tcPr>
          <w:p w:rsidR="00000000" w:rsidDel="00000000" w:rsidP="00000000" w:rsidRDefault="00000000" w:rsidRPr="00000000" w14:paraId="000007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Serious Adverse Experience</w:t>
            </w:r>
          </w:p>
        </w:tc>
      </w:tr>
      <w:tr>
        <w:trPr>
          <w:trHeight w:val="245" w:hRule="atLeast"/>
        </w:trPr>
        <w:tc>
          <w:tcPr>
            <w:vAlign w:val="center"/>
          </w:tcPr>
          <w:p w:rsidR="00000000" w:rsidDel="00000000" w:rsidP="00000000" w:rsidRDefault="00000000" w:rsidRPr="00000000" w14:paraId="0000071A">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HCE</w:t>
            </w:r>
          </w:p>
        </w:tc>
        <w:tc>
          <w:tcPr>
            <w:vAlign w:val="center"/>
          </w:tcPr>
          <w:p w:rsidR="00000000" w:rsidDel="00000000" w:rsidP="00000000" w:rsidRDefault="00000000" w:rsidRPr="00000000" w14:paraId="000007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Health Campaign Effectiveness</w:t>
            </w:r>
          </w:p>
        </w:tc>
        <w:tc>
          <w:tcPr/>
          <w:p w:rsidR="00000000" w:rsidDel="00000000" w:rsidP="00000000" w:rsidRDefault="00000000" w:rsidRPr="00000000" w14:paraId="0000071C">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1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SAGE</w:t>
            </w:r>
          </w:p>
        </w:tc>
        <w:tc>
          <w:tcPr>
            <w:vAlign w:val="center"/>
          </w:tcPr>
          <w:p w:rsidR="00000000" w:rsidDel="00000000" w:rsidP="00000000" w:rsidRDefault="00000000" w:rsidRPr="00000000" w14:paraId="0000071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Strategic Advisory Group of Experts</w:t>
            </w:r>
          </w:p>
        </w:tc>
      </w:tr>
      <w:tr>
        <w:trPr>
          <w:trHeight w:val="245" w:hRule="atLeast"/>
        </w:trPr>
        <w:tc>
          <w:tcPr>
            <w:vAlign w:val="center"/>
          </w:tcPr>
          <w:p w:rsidR="00000000" w:rsidDel="00000000" w:rsidP="00000000" w:rsidRDefault="00000000" w:rsidRPr="00000000" w14:paraId="0000071F">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HCW</w:t>
            </w:r>
          </w:p>
        </w:tc>
        <w:tc>
          <w:tcPr>
            <w:vAlign w:val="center"/>
          </w:tcPr>
          <w:p w:rsidR="00000000" w:rsidDel="00000000" w:rsidP="00000000" w:rsidRDefault="00000000" w:rsidRPr="00000000" w14:paraId="000007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Healthcare Worker</w:t>
            </w:r>
          </w:p>
        </w:tc>
        <w:tc>
          <w:tcPr/>
          <w:p w:rsidR="00000000" w:rsidDel="00000000" w:rsidP="00000000" w:rsidRDefault="00000000" w:rsidRPr="00000000" w14:paraId="00000721">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22">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SC</w:t>
            </w:r>
            <w:r w:rsidDel="00000000" w:rsidR="00000000" w:rsidRPr="00000000">
              <w:rPr>
                <w:rtl w:val="0"/>
              </w:rPr>
            </w:r>
          </w:p>
        </w:tc>
        <w:tc>
          <w:tcPr>
            <w:vAlign w:val="center"/>
          </w:tcPr>
          <w:p w:rsidR="00000000" w:rsidDel="00000000" w:rsidP="00000000" w:rsidRDefault="00000000" w:rsidRPr="00000000" w14:paraId="000007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Subcutaneous</w:t>
            </w:r>
          </w:p>
        </w:tc>
      </w:tr>
      <w:tr>
        <w:trPr>
          <w:trHeight w:val="245" w:hRule="atLeast"/>
        </w:trPr>
        <w:tc>
          <w:tcPr>
            <w:vAlign w:val="center"/>
          </w:tcPr>
          <w:p w:rsidR="00000000" w:rsidDel="00000000" w:rsidP="00000000" w:rsidRDefault="00000000" w:rsidRPr="00000000" w14:paraId="0000072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HH</w:t>
            </w:r>
          </w:p>
        </w:tc>
        <w:tc>
          <w:tcPr>
            <w:vAlign w:val="center"/>
          </w:tcPr>
          <w:p w:rsidR="00000000" w:rsidDel="00000000" w:rsidP="00000000" w:rsidRDefault="00000000" w:rsidRPr="00000000" w14:paraId="000007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Household</w:t>
            </w:r>
          </w:p>
        </w:tc>
        <w:tc>
          <w:tcPr/>
          <w:p w:rsidR="00000000" w:rsidDel="00000000" w:rsidP="00000000" w:rsidRDefault="00000000" w:rsidRPr="00000000" w14:paraId="00000726">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27">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SCH</w:t>
            </w:r>
            <w:r w:rsidDel="00000000" w:rsidR="00000000" w:rsidRPr="00000000">
              <w:rPr>
                <w:rtl w:val="0"/>
              </w:rPr>
            </w:r>
          </w:p>
        </w:tc>
        <w:tc>
          <w:tcPr>
            <w:vAlign w:val="center"/>
          </w:tcPr>
          <w:p w:rsidR="00000000" w:rsidDel="00000000" w:rsidP="00000000" w:rsidRDefault="00000000" w:rsidRPr="00000000" w14:paraId="0000072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Schistosomiasis</w:t>
            </w:r>
          </w:p>
        </w:tc>
      </w:tr>
      <w:tr>
        <w:trPr>
          <w:trHeight w:val="245" w:hRule="atLeast"/>
        </w:trPr>
        <w:tc>
          <w:tcPr>
            <w:vAlign w:val="center"/>
          </w:tcPr>
          <w:p w:rsidR="00000000" w:rsidDel="00000000" w:rsidP="00000000" w:rsidRDefault="00000000" w:rsidRPr="00000000" w14:paraId="0000072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HKI</w:t>
            </w:r>
          </w:p>
        </w:tc>
        <w:tc>
          <w:tcPr>
            <w:vAlign w:val="center"/>
          </w:tcPr>
          <w:p w:rsidR="00000000" w:rsidDel="00000000" w:rsidP="00000000" w:rsidRDefault="00000000" w:rsidRPr="00000000" w14:paraId="0000072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Hellen Keller International</w:t>
            </w:r>
          </w:p>
        </w:tc>
        <w:tc>
          <w:tcPr/>
          <w:p w:rsidR="00000000" w:rsidDel="00000000" w:rsidP="00000000" w:rsidRDefault="00000000" w:rsidRPr="00000000" w14:paraId="0000072B">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2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SIA</w:t>
            </w:r>
            <w:r w:rsidDel="00000000" w:rsidR="00000000" w:rsidRPr="00000000">
              <w:rPr>
                <w:rtl w:val="0"/>
              </w:rPr>
            </w:r>
          </w:p>
        </w:tc>
        <w:tc>
          <w:tcPr>
            <w:vAlign w:val="center"/>
          </w:tcPr>
          <w:p w:rsidR="00000000" w:rsidDel="00000000" w:rsidP="00000000" w:rsidRDefault="00000000" w:rsidRPr="00000000" w14:paraId="000007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Supplementary Immunization Activity</w:t>
            </w:r>
          </w:p>
        </w:tc>
      </w:tr>
      <w:tr>
        <w:trPr>
          <w:trHeight w:val="245" w:hRule="atLeast"/>
        </w:trPr>
        <w:tc>
          <w:tcPr>
            <w:vAlign w:val="center"/>
          </w:tcPr>
          <w:p w:rsidR="00000000" w:rsidDel="00000000" w:rsidP="00000000" w:rsidRDefault="00000000" w:rsidRPr="00000000" w14:paraId="0000072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HMIS</w:t>
            </w:r>
          </w:p>
        </w:tc>
        <w:tc>
          <w:tcPr>
            <w:vAlign w:val="center"/>
          </w:tcPr>
          <w:p w:rsidR="00000000" w:rsidDel="00000000" w:rsidP="00000000" w:rsidRDefault="00000000" w:rsidRPr="00000000" w14:paraId="000007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Health Management Information System</w:t>
            </w:r>
          </w:p>
        </w:tc>
        <w:tc>
          <w:tcPr/>
          <w:p w:rsidR="00000000" w:rsidDel="00000000" w:rsidP="00000000" w:rsidRDefault="00000000" w:rsidRPr="00000000" w14:paraId="00000730">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31">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SMART</w:t>
            </w:r>
            <w:r w:rsidDel="00000000" w:rsidR="00000000" w:rsidRPr="00000000">
              <w:rPr>
                <w:rtl w:val="0"/>
              </w:rPr>
            </w:r>
          </w:p>
        </w:tc>
        <w:tc>
          <w:tcPr>
            <w:vAlign w:val="center"/>
          </w:tcPr>
          <w:p w:rsidR="00000000" w:rsidDel="00000000" w:rsidP="00000000" w:rsidRDefault="00000000" w:rsidRPr="00000000" w14:paraId="0000073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Specific, Measurable, Achievable, Relevant, and Timebound </w:t>
            </w:r>
          </w:p>
        </w:tc>
      </w:tr>
      <w:tr>
        <w:trPr>
          <w:trHeight w:val="245" w:hRule="atLeast"/>
        </w:trPr>
        <w:tc>
          <w:tcPr>
            <w:vAlign w:val="center"/>
          </w:tcPr>
          <w:p w:rsidR="00000000" w:rsidDel="00000000" w:rsidP="00000000" w:rsidRDefault="00000000" w:rsidRPr="00000000" w14:paraId="0000073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HPV</w:t>
            </w:r>
          </w:p>
        </w:tc>
        <w:tc>
          <w:tcPr>
            <w:vAlign w:val="center"/>
          </w:tcPr>
          <w:p w:rsidR="00000000" w:rsidDel="00000000" w:rsidP="00000000" w:rsidRDefault="00000000" w:rsidRPr="00000000" w14:paraId="000007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Human Papillomavirus</w:t>
            </w:r>
          </w:p>
        </w:tc>
        <w:tc>
          <w:tcPr/>
          <w:p w:rsidR="00000000" w:rsidDel="00000000" w:rsidP="00000000" w:rsidRDefault="00000000" w:rsidRPr="00000000" w14:paraId="00000735">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3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SMS</w:t>
            </w:r>
          </w:p>
        </w:tc>
        <w:tc>
          <w:tcPr>
            <w:vAlign w:val="center"/>
          </w:tcPr>
          <w:p w:rsidR="00000000" w:rsidDel="00000000" w:rsidP="00000000" w:rsidRDefault="00000000" w:rsidRPr="00000000" w14:paraId="000007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Short Messages Services (text messaging)</w:t>
            </w:r>
          </w:p>
        </w:tc>
      </w:tr>
      <w:tr>
        <w:trPr>
          <w:trHeight w:val="245" w:hRule="atLeast"/>
        </w:trPr>
        <w:tc>
          <w:tcPr>
            <w:vAlign w:val="center"/>
          </w:tcPr>
          <w:p w:rsidR="00000000" w:rsidDel="00000000" w:rsidP="00000000" w:rsidRDefault="00000000" w:rsidRPr="00000000" w14:paraId="0000073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IDP</w:t>
            </w:r>
          </w:p>
        </w:tc>
        <w:tc>
          <w:tcPr>
            <w:vAlign w:val="center"/>
          </w:tcPr>
          <w:p w:rsidR="00000000" w:rsidDel="00000000" w:rsidP="00000000" w:rsidRDefault="00000000" w:rsidRPr="00000000" w14:paraId="000007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Internally Displaced Peoples</w:t>
            </w:r>
          </w:p>
        </w:tc>
        <w:tc>
          <w:tcPr/>
          <w:p w:rsidR="00000000" w:rsidDel="00000000" w:rsidP="00000000" w:rsidRDefault="00000000" w:rsidRPr="00000000" w14:paraId="0000073A">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3B">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SP/AQ</w:t>
            </w:r>
            <w:r w:rsidDel="00000000" w:rsidR="00000000" w:rsidRPr="00000000">
              <w:rPr>
                <w:rtl w:val="0"/>
              </w:rPr>
            </w:r>
          </w:p>
        </w:tc>
        <w:tc>
          <w:tcPr>
            <w:vAlign w:val="center"/>
          </w:tcPr>
          <w:p w:rsidR="00000000" w:rsidDel="00000000" w:rsidP="00000000" w:rsidRDefault="00000000" w:rsidRPr="00000000" w14:paraId="0000073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Sulfadoxine-Pyrimethamine + Amodiaquine</w:t>
            </w:r>
          </w:p>
        </w:tc>
      </w:tr>
      <w:tr>
        <w:trPr>
          <w:trHeight w:val="245" w:hRule="atLeast"/>
        </w:trPr>
        <w:tc>
          <w:tcPr>
            <w:vAlign w:val="center"/>
          </w:tcPr>
          <w:p w:rsidR="00000000" w:rsidDel="00000000" w:rsidP="00000000" w:rsidRDefault="00000000" w:rsidRPr="00000000" w14:paraId="0000073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IPV</w:t>
            </w:r>
          </w:p>
        </w:tc>
        <w:tc>
          <w:tcPr>
            <w:vAlign w:val="center"/>
          </w:tcPr>
          <w:p w:rsidR="00000000" w:rsidDel="00000000" w:rsidP="00000000" w:rsidRDefault="00000000" w:rsidRPr="00000000" w14:paraId="0000073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Inactivated Polio Vaccine</w:t>
            </w:r>
          </w:p>
        </w:tc>
        <w:tc>
          <w:tcPr/>
          <w:p w:rsidR="00000000" w:rsidDel="00000000" w:rsidP="00000000" w:rsidRDefault="00000000" w:rsidRPr="00000000" w14:paraId="0000073F">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4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STH</w:t>
            </w:r>
          </w:p>
        </w:tc>
        <w:tc>
          <w:tcPr>
            <w:vAlign w:val="center"/>
          </w:tcPr>
          <w:p w:rsidR="00000000" w:rsidDel="00000000" w:rsidP="00000000" w:rsidRDefault="00000000" w:rsidRPr="00000000" w14:paraId="000007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Soil-transmitted Helminthiasis</w:t>
            </w:r>
          </w:p>
        </w:tc>
      </w:tr>
      <w:tr>
        <w:trPr>
          <w:trHeight w:val="245" w:hRule="atLeast"/>
        </w:trPr>
        <w:tc>
          <w:tcPr>
            <w:vAlign w:val="center"/>
          </w:tcPr>
          <w:p w:rsidR="00000000" w:rsidDel="00000000" w:rsidP="00000000" w:rsidRDefault="00000000" w:rsidRPr="00000000" w14:paraId="0000074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IU</w:t>
            </w:r>
          </w:p>
        </w:tc>
        <w:tc>
          <w:tcPr>
            <w:vAlign w:val="center"/>
          </w:tcPr>
          <w:p w:rsidR="00000000" w:rsidDel="00000000" w:rsidP="00000000" w:rsidRDefault="00000000" w:rsidRPr="00000000" w14:paraId="000007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International Units</w:t>
            </w:r>
          </w:p>
        </w:tc>
        <w:tc>
          <w:tcPr/>
          <w:p w:rsidR="00000000" w:rsidDel="00000000" w:rsidP="00000000" w:rsidRDefault="00000000" w:rsidRPr="00000000" w14:paraId="00000744">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45">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TIP</w:t>
            </w:r>
            <w:r w:rsidDel="00000000" w:rsidR="00000000" w:rsidRPr="00000000">
              <w:rPr>
                <w:rtl w:val="0"/>
              </w:rPr>
            </w:r>
          </w:p>
        </w:tc>
        <w:tc>
          <w:tcPr>
            <w:vAlign w:val="center"/>
          </w:tcPr>
          <w:p w:rsidR="00000000" w:rsidDel="00000000" w:rsidP="00000000" w:rsidRDefault="00000000" w:rsidRPr="00000000" w14:paraId="000007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Tailoring Immunization Programs</w:t>
            </w:r>
          </w:p>
        </w:tc>
      </w:tr>
      <w:tr>
        <w:trPr>
          <w:trHeight w:val="245" w:hRule="atLeast"/>
        </w:trPr>
        <w:tc>
          <w:tcPr>
            <w:vAlign w:val="center"/>
          </w:tcPr>
          <w:p w:rsidR="00000000" w:rsidDel="00000000" w:rsidP="00000000" w:rsidRDefault="00000000" w:rsidRPr="00000000" w14:paraId="0000074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IVM</w:t>
            </w:r>
          </w:p>
        </w:tc>
        <w:tc>
          <w:tcPr>
            <w:vAlign w:val="center"/>
          </w:tcPr>
          <w:p w:rsidR="00000000" w:rsidDel="00000000" w:rsidP="00000000" w:rsidRDefault="00000000" w:rsidRPr="00000000" w14:paraId="0000074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Ivermectin</w:t>
            </w:r>
          </w:p>
        </w:tc>
        <w:tc>
          <w:tcPr/>
          <w:p w:rsidR="00000000" w:rsidDel="00000000" w:rsidP="00000000" w:rsidRDefault="00000000" w:rsidRPr="00000000" w14:paraId="00000749">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4A">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Trach</w:t>
            </w:r>
            <w:r w:rsidDel="00000000" w:rsidR="00000000" w:rsidRPr="00000000">
              <w:rPr>
                <w:rtl w:val="0"/>
              </w:rPr>
            </w:r>
          </w:p>
        </w:tc>
        <w:tc>
          <w:tcPr>
            <w:vAlign w:val="center"/>
          </w:tcPr>
          <w:p w:rsidR="00000000" w:rsidDel="00000000" w:rsidP="00000000" w:rsidRDefault="00000000" w:rsidRPr="00000000" w14:paraId="000007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Trachoma</w:t>
            </w:r>
          </w:p>
        </w:tc>
      </w:tr>
      <w:tr>
        <w:trPr>
          <w:trHeight w:val="245" w:hRule="atLeast"/>
        </w:trPr>
        <w:tc>
          <w:tcPr>
            <w:vAlign w:val="center"/>
          </w:tcPr>
          <w:p w:rsidR="00000000" w:rsidDel="00000000" w:rsidP="00000000" w:rsidRDefault="00000000" w:rsidRPr="00000000" w14:paraId="0000074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JEE</w:t>
            </w:r>
          </w:p>
        </w:tc>
        <w:tc>
          <w:tcPr>
            <w:vAlign w:val="center"/>
          </w:tcPr>
          <w:p w:rsidR="00000000" w:rsidDel="00000000" w:rsidP="00000000" w:rsidRDefault="00000000" w:rsidRPr="00000000" w14:paraId="000007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Joint External Evaluation</w:t>
            </w:r>
          </w:p>
        </w:tc>
        <w:tc>
          <w:tcPr/>
          <w:p w:rsidR="00000000" w:rsidDel="00000000" w:rsidP="00000000" w:rsidRDefault="00000000" w:rsidRPr="00000000" w14:paraId="0000074E">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4F">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UNICEF</w:t>
            </w:r>
            <w:r w:rsidDel="00000000" w:rsidR="00000000" w:rsidRPr="00000000">
              <w:rPr>
                <w:rtl w:val="0"/>
              </w:rPr>
            </w:r>
          </w:p>
        </w:tc>
        <w:tc>
          <w:tcPr>
            <w:vAlign w:val="center"/>
          </w:tcPr>
          <w:p w:rsidR="00000000" w:rsidDel="00000000" w:rsidP="00000000" w:rsidRDefault="00000000" w:rsidRPr="00000000" w14:paraId="000007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United Nations Children’s Fund</w:t>
            </w:r>
          </w:p>
        </w:tc>
      </w:tr>
      <w:tr>
        <w:trPr>
          <w:trHeight w:val="245" w:hRule="atLeast"/>
        </w:trPr>
        <w:tc>
          <w:tcPr>
            <w:vAlign w:val="center"/>
          </w:tcPr>
          <w:p w:rsidR="00000000" w:rsidDel="00000000" w:rsidP="00000000" w:rsidRDefault="00000000" w:rsidRPr="00000000" w14:paraId="0000075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LF</w:t>
            </w:r>
          </w:p>
        </w:tc>
        <w:tc>
          <w:tcPr>
            <w:vAlign w:val="center"/>
          </w:tcPr>
          <w:p w:rsidR="00000000" w:rsidDel="00000000" w:rsidP="00000000" w:rsidRDefault="00000000" w:rsidRPr="00000000" w14:paraId="0000075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Lymphatic filariasis</w:t>
            </w:r>
          </w:p>
        </w:tc>
        <w:tc>
          <w:tcPr/>
          <w:p w:rsidR="00000000" w:rsidDel="00000000" w:rsidP="00000000" w:rsidRDefault="00000000" w:rsidRPr="00000000" w14:paraId="00000753">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54">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VAS</w:t>
            </w:r>
            <w:r w:rsidDel="00000000" w:rsidR="00000000" w:rsidRPr="00000000">
              <w:rPr>
                <w:rtl w:val="0"/>
              </w:rPr>
            </w:r>
          </w:p>
        </w:tc>
        <w:tc>
          <w:tcPr>
            <w:vAlign w:val="center"/>
          </w:tcPr>
          <w:p w:rsidR="00000000" w:rsidDel="00000000" w:rsidP="00000000" w:rsidRDefault="00000000" w:rsidRPr="00000000" w14:paraId="000007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Vitamin A Supplementation</w:t>
            </w:r>
          </w:p>
        </w:tc>
      </w:tr>
      <w:tr>
        <w:trPr>
          <w:trHeight w:val="245" w:hRule="atLeast"/>
        </w:trPr>
        <w:tc>
          <w:tcPr>
            <w:vAlign w:val="center"/>
          </w:tcPr>
          <w:p w:rsidR="00000000" w:rsidDel="00000000" w:rsidP="00000000" w:rsidRDefault="00000000" w:rsidRPr="00000000" w14:paraId="0000075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LMIS</w:t>
            </w:r>
          </w:p>
        </w:tc>
        <w:tc>
          <w:tcPr>
            <w:vAlign w:val="center"/>
          </w:tcPr>
          <w:p w:rsidR="00000000" w:rsidDel="00000000" w:rsidP="00000000" w:rsidRDefault="00000000" w:rsidRPr="00000000" w14:paraId="000007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Logistics Management Information System</w:t>
            </w:r>
          </w:p>
        </w:tc>
        <w:tc>
          <w:tcPr/>
          <w:p w:rsidR="00000000" w:rsidDel="00000000" w:rsidP="00000000" w:rsidRDefault="00000000" w:rsidRPr="00000000" w14:paraId="00000758">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59">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WHO</w:t>
            </w:r>
            <w:r w:rsidDel="00000000" w:rsidR="00000000" w:rsidRPr="00000000">
              <w:rPr>
                <w:rtl w:val="0"/>
              </w:rPr>
            </w:r>
          </w:p>
        </w:tc>
        <w:tc>
          <w:tcPr>
            <w:vAlign w:val="center"/>
          </w:tcPr>
          <w:p w:rsidR="00000000" w:rsidDel="00000000" w:rsidP="00000000" w:rsidRDefault="00000000" w:rsidRPr="00000000" w14:paraId="000007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World Health Organizat</w:t>
            </w:r>
            <w:r w:rsidDel="00000000" w:rsidR="00000000" w:rsidRPr="00000000">
              <w:rPr>
                <w:color w:val="000000"/>
                <w:sz w:val="16"/>
                <w:szCs w:val="16"/>
                <w:rtl w:val="0"/>
              </w:rPr>
              <w:t xml:space="preserve">i</w:t>
            </w:r>
            <w:r w:rsidDel="00000000" w:rsidR="00000000" w:rsidRPr="00000000">
              <w:rPr>
                <w:rFonts w:ascii="Calibri" w:cs="Calibri" w:eastAsia="Calibri" w:hAnsi="Calibri"/>
                <w:color w:val="000000"/>
                <w:sz w:val="22"/>
                <w:szCs w:val="22"/>
                <w:rtl w:val="0"/>
              </w:rPr>
              <w:t xml:space="preserve">on</w:t>
            </w:r>
          </w:p>
        </w:tc>
      </w:tr>
      <w:tr>
        <w:trPr>
          <w:trHeight w:val="245" w:hRule="atLeast"/>
        </w:trPr>
        <w:tc>
          <w:tcPr>
            <w:vAlign w:val="center"/>
          </w:tcPr>
          <w:p w:rsidR="00000000" w:rsidDel="00000000" w:rsidP="00000000" w:rsidRDefault="00000000" w:rsidRPr="00000000" w14:paraId="0000075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LQAS</w:t>
            </w:r>
          </w:p>
        </w:tc>
        <w:tc>
          <w:tcPr>
            <w:vAlign w:val="center"/>
          </w:tcPr>
          <w:p w:rsidR="00000000" w:rsidDel="00000000" w:rsidP="00000000" w:rsidRDefault="00000000" w:rsidRPr="00000000" w14:paraId="000007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Lot Quality Assurance Sampling</w:t>
            </w:r>
          </w:p>
        </w:tc>
        <w:tc>
          <w:tcPr/>
          <w:p w:rsidR="00000000" w:rsidDel="00000000" w:rsidP="00000000" w:rsidRDefault="00000000" w:rsidRPr="00000000" w14:paraId="0000075D">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5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WHO JAP</w:t>
            </w:r>
          </w:p>
        </w:tc>
        <w:tc>
          <w:tcPr>
            <w:vAlign w:val="center"/>
          </w:tcPr>
          <w:p w:rsidR="00000000" w:rsidDel="00000000" w:rsidP="00000000" w:rsidRDefault="00000000" w:rsidRPr="00000000" w14:paraId="000007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World Health Organization Joint Application Package</w:t>
            </w:r>
          </w:p>
        </w:tc>
      </w:tr>
      <w:tr>
        <w:trPr>
          <w:trHeight w:val="245" w:hRule="atLeast"/>
        </w:trPr>
        <w:tc>
          <w:tcPr>
            <w:vAlign w:val="center"/>
          </w:tcPr>
          <w:p w:rsidR="00000000" w:rsidDel="00000000" w:rsidP="00000000" w:rsidRDefault="00000000" w:rsidRPr="00000000" w14:paraId="0000076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MDA</w:t>
            </w:r>
          </w:p>
        </w:tc>
        <w:tc>
          <w:tcPr>
            <w:vAlign w:val="center"/>
          </w:tcPr>
          <w:p w:rsidR="00000000" w:rsidDel="00000000" w:rsidP="00000000" w:rsidRDefault="00000000" w:rsidRPr="00000000" w14:paraId="000007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Mass Drug Administration</w:t>
            </w:r>
          </w:p>
        </w:tc>
        <w:tc>
          <w:tcPr/>
          <w:p w:rsidR="00000000" w:rsidDel="00000000" w:rsidP="00000000" w:rsidRDefault="00000000" w:rsidRPr="00000000" w14:paraId="00000762">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63">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WMF</w:t>
            </w:r>
            <w:r w:rsidDel="00000000" w:rsidR="00000000" w:rsidRPr="00000000">
              <w:rPr>
                <w:rtl w:val="0"/>
              </w:rPr>
            </w:r>
          </w:p>
        </w:tc>
        <w:tc>
          <w:tcPr>
            <w:vAlign w:val="center"/>
          </w:tcPr>
          <w:p w:rsidR="00000000" w:rsidDel="00000000" w:rsidP="00000000" w:rsidRDefault="00000000" w:rsidRPr="00000000" w14:paraId="0000076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Wastage Multiplication Factor</w:t>
            </w:r>
          </w:p>
        </w:tc>
      </w:tr>
      <w:tr>
        <w:trPr>
          <w:trHeight w:val="245" w:hRule="atLeast"/>
        </w:trPr>
        <w:tc>
          <w:tcPr>
            <w:vAlign w:val="center"/>
          </w:tcPr>
          <w:p w:rsidR="00000000" w:rsidDel="00000000" w:rsidP="00000000" w:rsidRDefault="00000000" w:rsidRPr="00000000" w14:paraId="0000076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MDVP</w:t>
            </w:r>
          </w:p>
        </w:tc>
        <w:tc>
          <w:tcPr>
            <w:vAlign w:val="center"/>
          </w:tcPr>
          <w:p w:rsidR="00000000" w:rsidDel="00000000" w:rsidP="00000000" w:rsidRDefault="00000000" w:rsidRPr="00000000" w14:paraId="0000076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Multi Dose Vial Policy</w:t>
            </w:r>
          </w:p>
        </w:tc>
        <w:tc>
          <w:tcPr/>
          <w:p w:rsidR="00000000" w:rsidDel="00000000" w:rsidP="00000000" w:rsidRDefault="00000000" w:rsidRPr="00000000" w14:paraId="00000767">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68">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YF</w:t>
            </w:r>
            <w:r w:rsidDel="00000000" w:rsidR="00000000" w:rsidRPr="00000000">
              <w:rPr>
                <w:rtl w:val="0"/>
              </w:rPr>
            </w:r>
          </w:p>
        </w:tc>
        <w:tc>
          <w:tcPr>
            <w:vAlign w:val="center"/>
          </w:tcPr>
          <w:p w:rsidR="00000000" w:rsidDel="00000000" w:rsidP="00000000" w:rsidRDefault="00000000" w:rsidRPr="00000000" w14:paraId="000007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Yellow Fever</w:t>
            </w:r>
          </w:p>
        </w:tc>
      </w:tr>
      <w:tr>
        <w:trPr>
          <w:trHeight w:val="245" w:hRule="atLeast"/>
        </w:trPr>
        <w:tc>
          <w:tcPr>
            <w:vAlign w:val="center"/>
          </w:tcPr>
          <w:p w:rsidR="00000000" w:rsidDel="00000000" w:rsidP="00000000" w:rsidRDefault="00000000" w:rsidRPr="00000000" w14:paraId="0000076A">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MI4A</w:t>
            </w:r>
          </w:p>
        </w:tc>
        <w:tc>
          <w:tcPr>
            <w:vAlign w:val="center"/>
          </w:tcPr>
          <w:p w:rsidR="00000000" w:rsidDel="00000000" w:rsidP="00000000" w:rsidRDefault="00000000" w:rsidRPr="00000000" w14:paraId="000007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Market Information for Access to Vaccines</w:t>
            </w:r>
          </w:p>
        </w:tc>
        <w:tc>
          <w:tcPr/>
          <w:p w:rsidR="00000000" w:rsidDel="00000000" w:rsidP="00000000" w:rsidRDefault="00000000" w:rsidRPr="00000000" w14:paraId="0000076C">
            <w:pPr>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6D">
            <w:pP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76E">
            <w:pPr>
              <w:rPr>
                <w:rFonts w:ascii="Calibri" w:cs="Calibri" w:eastAsia="Calibri" w:hAnsi="Calibri"/>
                <w:color w:val="000000"/>
                <w:sz w:val="22"/>
                <w:szCs w:val="22"/>
              </w:rPr>
            </w:pPr>
            <w:r w:rsidDel="00000000" w:rsidR="00000000" w:rsidRPr="00000000">
              <w:rPr>
                <w:rtl w:val="0"/>
              </w:rPr>
            </w:r>
          </w:p>
        </w:tc>
      </w:tr>
      <w:tr>
        <w:trPr>
          <w:trHeight w:val="245" w:hRule="atLeast"/>
        </w:trPr>
        <w:tc>
          <w:tcPr>
            <w:vAlign w:val="center"/>
          </w:tcPr>
          <w:p w:rsidR="00000000" w:rsidDel="00000000" w:rsidP="00000000" w:rsidRDefault="00000000" w:rsidRPr="00000000" w14:paraId="0000076F">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MICS</w:t>
            </w:r>
          </w:p>
        </w:tc>
        <w:tc>
          <w:tcPr>
            <w:vAlign w:val="center"/>
          </w:tcPr>
          <w:p w:rsidR="00000000" w:rsidDel="00000000" w:rsidP="00000000" w:rsidRDefault="00000000" w:rsidRPr="00000000" w14:paraId="000007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Multiple Indicator Cluster Survey</w:t>
            </w:r>
          </w:p>
        </w:tc>
        <w:tc>
          <w:tcPr/>
          <w:p w:rsidR="00000000" w:rsidDel="00000000" w:rsidP="00000000" w:rsidRDefault="00000000" w:rsidRPr="00000000" w14:paraId="00000771">
            <w:pPr>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772">
            <w:pPr>
              <w:jc w:val="cente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773">
            <w:pPr>
              <w:jc w:val="center"/>
              <w:rPr>
                <w:rFonts w:ascii="Calibri" w:cs="Calibri" w:eastAsia="Calibri" w:hAnsi="Calibri"/>
                <w:color w:val="000000"/>
                <w:sz w:val="22"/>
                <w:szCs w:val="22"/>
              </w:rPr>
            </w:pPr>
            <w:r w:rsidDel="00000000" w:rsidR="00000000" w:rsidRPr="00000000">
              <w:rPr>
                <w:rtl w:val="0"/>
              </w:rPr>
            </w:r>
          </w:p>
        </w:tc>
      </w:tr>
      <w:tr>
        <w:trPr>
          <w:trHeight w:val="245" w:hRule="atLeast"/>
        </w:trPr>
        <w:tc>
          <w:tcPr>
            <w:vAlign w:val="center"/>
          </w:tcPr>
          <w:p w:rsidR="00000000" w:rsidDel="00000000" w:rsidP="00000000" w:rsidRDefault="00000000" w:rsidRPr="00000000" w14:paraId="00000774">
            <w:pPr>
              <w:rPr>
                <w:rFonts w:ascii="Calibri" w:cs="Calibri" w:eastAsia="Calibri" w:hAnsi="Calibri"/>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775">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776">
            <w:pPr>
              <w:jc w:val="center"/>
              <w:rPr>
                <w:color w:val="000000"/>
                <w:sz w:val="22"/>
                <w:szCs w:val="22"/>
              </w:rPr>
            </w:pPr>
            <w:r w:rsidDel="00000000" w:rsidR="00000000" w:rsidRPr="00000000">
              <w:rPr>
                <w:rtl w:val="0"/>
              </w:rPr>
            </w:r>
          </w:p>
        </w:tc>
        <w:tc>
          <w:tcPr/>
          <w:p w:rsidR="00000000" w:rsidDel="00000000" w:rsidP="00000000" w:rsidRDefault="00000000" w:rsidRPr="00000000" w14:paraId="00000777">
            <w:pPr>
              <w:jc w:val="center"/>
              <w:rPr>
                <w:color w:val="000000"/>
                <w:sz w:val="22"/>
                <w:szCs w:val="22"/>
              </w:rPr>
            </w:pPr>
            <w:r w:rsidDel="00000000" w:rsidR="00000000" w:rsidRPr="00000000">
              <w:rPr>
                <w:rtl w:val="0"/>
              </w:rPr>
            </w:r>
          </w:p>
        </w:tc>
        <w:tc>
          <w:tcPr/>
          <w:p w:rsidR="00000000" w:rsidDel="00000000" w:rsidP="00000000" w:rsidRDefault="00000000" w:rsidRPr="00000000" w14:paraId="00000778">
            <w:pPr>
              <w:jc w:val="center"/>
              <w:rPr>
                <w:color w:val="000000"/>
                <w:sz w:val="22"/>
                <w:szCs w:val="22"/>
              </w:rPr>
            </w:pPr>
            <w:r w:rsidDel="00000000" w:rsidR="00000000" w:rsidRPr="00000000">
              <w:rPr>
                <w:rtl w:val="0"/>
              </w:rPr>
            </w:r>
          </w:p>
        </w:tc>
      </w:tr>
    </w:tbl>
    <w:p w:rsidR="00000000" w:rsidDel="00000000" w:rsidP="00000000" w:rsidRDefault="00000000" w:rsidRPr="00000000" w14:paraId="00000779">
      <w:pPr>
        <w:pStyle w:val="Heading1"/>
        <w:jc w:val="center"/>
        <w:rPr>
          <w:rFonts w:ascii="Calibri" w:cs="Calibri" w:eastAsia="Calibri" w:hAnsi="Calibri"/>
          <w:b w:val="1"/>
          <w:color w:val="000000"/>
        </w:rPr>
      </w:pPr>
      <w:bookmarkStart w:colFirst="0" w:colLast="0" w:name="_heading=h.49x2ik5" w:id="21"/>
      <w:bookmarkEnd w:id="21"/>
      <w:r w:rsidDel="00000000" w:rsidR="00000000" w:rsidRPr="00000000">
        <w:rPr>
          <w:rFonts w:ascii="Calibri" w:cs="Calibri" w:eastAsia="Calibri" w:hAnsi="Calibri"/>
          <w:b w:val="1"/>
          <w:color w:val="000000"/>
          <w:rtl w:val="0"/>
        </w:rPr>
        <w:t xml:space="preserve">Definitions of Criteria (illustrative)</w:t>
      </w:r>
    </w:p>
    <w:tbl>
      <w:tblPr>
        <w:tblStyle w:val="Table9"/>
        <w:tblW w:w="17810.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960"/>
        <w:gridCol w:w="14850"/>
        <w:tblGridChange w:id="0">
          <w:tblGrid>
            <w:gridCol w:w="2960"/>
            <w:gridCol w:w="14850"/>
          </w:tblGrid>
        </w:tblGridChange>
      </w:tblGrid>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7A">
            <w:pPr>
              <w:spacing w:after="0" w:lineRule="auto"/>
              <w:rPr>
                <w:b w:val="1"/>
                <w:color w:val="000000"/>
              </w:rPr>
            </w:pPr>
            <w:r w:rsidDel="00000000" w:rsidR="00000000" w:rsidRPr="00000000">
              <w:rPr>
                <w:b w:val="1"/>
                <w:color w:val="000000"/>
                <w:rtl w:val="0"/>
              </w:rPr>
              <w:t xml:space="preserve">Adverse reaction (to a drug)</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7B">
            <w:pPr>
              <w:spacing w:after="0" w:line="240" w:lineRule="auto"/>
              <w:rPr>
                <w:color w:val="000000"/>
              </w:rPr>
            </w:pPr>
            <w:r w:rsidDel="00000000" w:rsidR="00000000" w:rsidRPr="00000000">
              <w:rPr>
                <w:color w:val="000000"/>
                <w:rtl w:val="0"/>
              </w:rPr>
              <w:t xml:space="preserve">Noxious and unintended reaction, which occurs at doses normally used in humans for the prophylaxis, diagnosis or treatment of disease, or for the modification of physiological function.</w:t>
            </w:r>
            <w:r w:rsidDel="00000000" w:rsidR="00000000" w:rsidRPr="00000000">
              <w:rPr>
                <w:color w:val="000000"/>
                <w:vertAlign w:val="superscript"/>
                <w:rtl w:val="0"/>
              </w:rPr>
              <w:t xml:space="preserve">11</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7C">
            <w:pPr>
              <w:spacing w:after="0" w:lineRule="auto"/>
              <w:rPr>
                <w:b w:val="1"/>
                <w:color w:val="000000"/>
              </w:rPr>
            </w:pPr>
            <w:r w:rsidDel="00000000" w:rsidR="00000000" w:rsidRPr="00000000">
              <w:rPr>
                <w:b w:val="1"/>
                <w:color w:val="000000"/>
                <w:rtl w:val="0"/>
              </w:rPr>
              <w:t xml:space="preserve">Campaign (health)</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7D">
            <w:pPr>
              <w:spacing w:after="0" w:line="240" w:lineRule="auto"/>
              <w:rPr>
                <w:color w:val="000000"/>
              </w:rPr>
            </w:pPr>
            <w:r w:rsidDel="00000000" w:rsidR="00000000" w:rsidRPr="00000000">
              <w:rPr>
                <w:color w:val="000000"/>
                <w:rtl w:val="0"/>
              </w:rPr>
              <w:t xml:space="preserve">Time-bound, intermittent activities deployed to address specific epidemiologic challenges, expediently fill delivery gaps, or provide surge coverage for health interventions.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7E">
            <w:pPr>
              <w:spacing w:after="0" w:lineRule="auto"/>
              <w:rPr>
                <w:b w:val="1"/>
                <w:color w:val="000000"/>
              </w:rPr>
            </w:pPr>
            <w:r w:rsidDel="00000000" w:rsidR="00000000" w:rsidRPr="00000000">
              <w:rPr>
                <w:b w:val="1"/>
                <w:color w:val="000000"/>
                <w:rtl w:val="0"/>
              </w:rPr>
              <w:t xml:space="preserve">Catch-up SIA</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7F">
            <w:pPr>
              <w:spacing w:after="0" w:lineRule="auto"/>
              <w:rPr>
                <w:color w:val="000000"/>
              </w:rPr>
            </w:pPr>
            <w:r w:rsidDel="00000000" w:rsidR="00000000" w:rsidRPr="00000000">
              <w:rPr>
                <w:color w:val="000000"/>
                <w:rtl w:val="0"/>
              </w:rPr>
              <w:t xml:space="preserve">One-time SIA, usually nation-wide, to vaccinate the main target population responsible for disease transmission in order to rapidly reduce the number of susceptible individuals.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ffffff" w:val="clear"/>
            <w:tcMar>
              <w:top w:w="29.0" w:type="dxa"/>
              <w:left w:w="29.0" w:type="dxa"/>
              <w:bottom w:w="29.0" w:type="dxa"/>
              <w:right w:w="29.0" w:type="dxa"/>
            </w:tcMar>
            <w:vAlign w:val="center"/>
          </w:tcPr>
          <w:p w:rsidR="00000000" w:rsidDel="00000000" w:rsidP="00000000" w:rsidRDefault="00000000" w:rsidRPr="00000000" w14:paraId="00000780">
            <w:pPr>
              <w:spacing w:after="0" w:lineRule="auto"/>
              <w:rPr>
                <w:b w:val="1"/>
                <w:color w:val="000000"/>
              </w:rPr>
            </w:pPr>
            <w:r w:rsidDel="00000000" w:rsidR="00000000" w:rsidRPr="00000000">
              <w:rPr>
                <w:b w:val="1"/>
                <w:color w:val="000000"/>
                <w:rtl w:val="0"/>
              </w:rPr>
              <w:t xml:space="preserve">Catch-Up Vaccination</w:t>
            </w:r>
          </w:p>
        </w:tc>
        <w:tc>
          <w:tcPr>
            <w:tcBorders>
              <w:top w:color="000000" w:space="0" w:sz="8" w:val="single"/>
              <w:left w:color="000000" w:space="0" w:sz="8" w:val="single"/>
              <w:bottom w:color="000000" w:space="0" w:sz="8" w:val="single"/>
              <w:right w:color="000000" w:space="0" w:sz="8" w:val="single"/>
            </w:tcBorders>
            <w:shd w:fill="ffffff" w:val="clear"/>
            <w:tcMar>
              <w:top w:w="29.0" w:type="dxa"/>
              <w:left w:w="29.0" w:type="dxa"/>
              <w:bottom w:w="29.0" w:type="dxa"/>
              <w:right w:w="29.0" w:type="dxa"/>
            </w:tcMar>
            <w:vAlign w:val="center"/>
          </w:tcPr>
          <w:p w:rsidR="00000000" w:rsidDel="00000000" w:rsidP="00000000" w:rsidRDefault="00000000" w:rsidRPr="00000000" w14:paraId="0000078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“Refers to vaccinating an individual with any vaccines missed per the national immunization schedule. It can be delivered through regular routine immunization service delivery (fixed, outreach, mobile, school), periodic intensification of routine immunization (PIRI) activities, or any other strategy to ensure individuals have the opportunity to receive routine immunizations for which they are eligible. This is distinct from the concept of ‘catch-up SIAs’ that are one-time campaigns to vaccinate the main target population responsible for disease transmission in order to rapidly reduce the number of susceptible individuals, other ‘catch-up campaigns’ that sometimes accompany new vaccine introductions, or from the strategy of ‘catch-up, keep-up, follow-up, speed-up’ used for measles elimination in the Region of the Americas” </w:t>
            </w:r>
            <w:r w:rsidDel="00000000" w:rsidR="00000000" w:rsidRPr="00000000">
              <w:rPr>
                <w:color w:val="000000"/>
                <w:vertAlign w:val="superscript"/>
                <w:rtl w:val="0"/>
              </w:rPr>
              <w:t xml:space="preserve">16</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2">
            <w:pPr>
              <w:spacing w:after="0" w:lineRule="auto"/>
              <w:rPr>
                <w:b w:val="1"/>
                <w:color w:val="000000"/>
              </w:rPr>
            </w:pPr>
            <w:r w:rsidDel="00000000" w:rsidR="00000000" w:rsidRPr="00000000">
              <w:rPr>
                <w:b w:val="1"/>
                <w:color w:val="000000"/>
                <w:rtl w:val="0"/>
              </w:rPr>
              <w:t xml:space="preserve">Community Acceptance</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3">
            <w:pPr>
              <w:spacing w:after="0" w:lineRule="auto"/>
              <w:rPr>
                <w:color w:val="000000"/>
              </w:rPr>
            </w:pPr>
            <w:r w:rsidDel="00000000" w:rsidR="00000000" w:rsidRPr="00000000">
              <w:rPr>
                <w:color w:val="000000"/>
                <w:rtl w:val="0"/>
              </w:rPr>
              <w:t xml:space="preserve">Consider factors that are convenient for the community. Collaborate with local community groups to determine the best dates, times, and locations to promote ownership. Consider community activities/celebrations and local events such as religious festivals, key agricultural activities, and timing of political activities. Adapt the TIP and HCD approaches to design more people-centered strategies to improve vaccine delivery and uptake.</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4">
            <w:pPr>
              <w:spacing w:after="0" w:lineRule="auto"/>
              <w:rPr>
                <w:b w:val="1"/>
                <w:color w:val="000000"/>
              </w:rPr>
            </w:pPr>
            <w:r w:rsidDel="00000000" w:rsidR="00000000" w:rsidRPr="00000000">
              <w:rPr>
                <w:b w:val="1"/>
                <w:color w:val="000000"/>
                <w:rtl w:val="0"/>
              </w:rPr>
              <w:t xml:space="preserve">Coverage</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5">
            <w:pPr>
              <w:spacing w:after="0" w:lineRule="auto"/>
              <w:rPr>
                <w:color w:val="000000"/>
              </w:rPr>
            </w:pPr>
            <w:r w:rsidDel="00000000" w:rsidR="00000000" w:rsidRPr="00000000">
              <w:rPr>
                <w:color w:val="000000"/>
                <w:rtl w:val="0"/>
              </w:rPr>
              <w:t xml:space="preserve">A proportion (%) that reflects the number of people receiving (an) intervention(s) divided by the total number of people eligible to receive the intervention(s).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6">
            <w:pPr>
              <w:spacing w:after="0" w:lineRule="auto"/>
              <w:rPr>
                <w:b w:val="1"/>
                <w:color w:val="000000"/>
              </w:rPr>
            </w:pPr>
            <w:r w:rsidDel="00000000" w:rsidR="00000000" w:rsidRPr="00000000">
              <w:rPr>
                <w:b w:val="1"/>
                <w:color w:val="000000"/>
                <w:rtl w:val="0"/>
              </w:rPr>
              <w:t xml:space="preserve">Denominator</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7">
            <w:pPr>
              <w:spacing w:after="0" w:lineRule="auto"/>
              <w:rPr>
                <w:color w:val="000000"/>
              </w:rPr>
            </w:pPr>
            <w:r w:rsidDel="00000000" w:rsidR="00000000" w:rsidRPr="00000000">
              <w:rPr>
                <w:color w:val="000000"/>
                <w:rtl w:val="0"/>
              </w:rPr>
              <w:t xml:space="preserve">The total number of a population for an indicator.</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8">
            <w:pPr>
              <w:spacing w:after="0" w:lineRule="auto"/>
              <w:rPr>
                <w:b w:val="1"/>
                <w:color w:val="000000"/>
              </w:rPr>
            </w:pPr>
            <w:r w:rsidDel="00000000" w:rsidR="00000000" w:rsidRPr="00000000">
              <w:rPr>
                <w:b w:val="1"/>
                <w:color w:val="000000"/>
                <w:rtl w:val="0"/>
              </w:rPr>
              <w:t xml:space="preserve">Disaggregation (of data)</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9">
            <w:pPr>
              <w:spacing w:after="0" w:lineRule="auto"/>
              <w:rPr>
                <w:color w:val="000000"/>
              </w:rPr>
            </w:pPr>
            <w:r w:rsidDel="00000000" w:rsidR="00000000" w:rsidRPr="00000000">
              <w:rPr>
                <w:color w:val="000000"/>
                <w:rtl w:val="0"/>
              </w:rPr>
              <w:t xml:space="preserve">Analysis of data by different sub-groups, for example, analysis of data by smaller administrative units or by different age groups.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A">
            <w:pPr>
              <w:spacing w:after="0" w:lineRule="auto"/>
              <w:rPr>
                <w:b w:val="1"/>
                <w:color w:val="000000"/>
              </w:rPr>
            </w:pPr>
            <w:r w:rsidDel="00000000" w:rsidR="00000000" w:rsidRPr="00000000">
              <w:rPr>
                <w:b w:val="1"/>
                <w:color w:val="000000"/>
                <w:rtl w:val="0"/>
              </w:rPr>
              <w:t xml:space="preserve">District</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B">
            <w:pPr>
              <w:spacing w:after="0" w:lineRule="auto"/>
              <w:rPr>
                <w:color w:val="000000"/>
              </w:rPr>
            </w:pPr>
            <w:r w:rsidDel="00000000" w:rsidR="00000000" w:rsidRPr="00000000">
              <w:rPr>
                <w:color w:val="000000"/>
                <w:rtl w:val="0"/>
              </w:rPr>
              <w:t xml:space="preserve">For the purpose of this guide, “district” refers to a defined sub-national administrative area.</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C">
            <w:pPr>
              <w:spacing w:after="0" w:lineRule="auto"/>
              <w:rPr>
                <w:b w:val="1"/>
                <w:color w:val="000000"/>
              </w:rPr>
            </w:pPr>
            <w:r w:rsidDel="00000000" w:rsidR="00000000" w:rsidRPr="00000000">
              <w:rPr>
                <w:b w:val="1"/>
                <w:color w:val="000000"/>
                <w:rtl w:val="0"/>
              </w:rPr>
              <w:t xml:space="preserve">Drug coverage</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D">
            <w:pPr>
              <w:spacing w:after="0" w:lineRule="auto"/>
              <w:rPr>
                <w:color w:val="000000"/>
              </w:rPr>
            </w:pPr>
            <w:r w:rsidDel="00000000" w:rsidR="00000000" w:rsidRPr="00000000">
              <w:rPr>
                <w:color w:val="000000"/>
                <w:rtl w:val="0"/>
              </w:rPr>
              <w:t xml:space="preserve">Proportion of individuals, expressed as a percentage, in a targeted population who swallowed a drug, or a combination of drugs.</w:t>
            </w:r>
            <w:r w:rsidDel="00000000" w:rsidR="00000000" w:rsidRPr="00000000">
              <w:rPr>
                <w:color w:val="000000"/>
                <w:vertAlign w:val="superscript"/>
                <w:rtl w:val="0"/>
              </w:rPr>
              <w:t xml:space="preserve">3</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E">
            <w:pPr>
              <w:spacing w:after="0" w:lineRule="auto"/>
              <w:rPr>
                <w:b w:val="1"/>
                <w:color w:val="000000"/>
              </w:rPr>
            </w:pPr>
            <w:r w:rsidDel="00000000" w:rsidR="00000000" w:rsidRPr="00000000">
              <w:rPr>
                <w:b w:val="1"/>
                <w:color w:val="000000"/>
                <w:rtl w:val="0"/>
              </w:rPr>
              <w:t xml:space="preserve">Effectiveness</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8F">
            <w:pPr>
              <w:spacing w:after="0" w:lineRule="auto"/>
              <w:rPr>
                <w:color w:val="000000"/>
              </w:rPr>
            </w:pPr>
            <w:r w:rsidDel="00000000" w:rsidR="00000000" w:rsidRPr="00000000">
              <w:rPr>
                <w:color w:val="000000"/>
                <w:rtl w:val="0"/>
              </w:rPr>
              <w:t xml:space="preserve">The ability of a campaign to achieve specific objectives related to coverage, equity, efficiency and impact.</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0">
            <w:pPr>
              <w:spacing w:after="0" w:lineRule="auto"/>
              <w:rPr>
                <w:b w:val="1"/>
                <w:color w:val="000000"/>
              </w:rPr>
            </w:pPr>
            <w:r w:rsidDel="00000000" w:rsidR="00000000" w:rsidRPr="00000000">
              <w:rPr>
                <w:b w:val="1"/>
                <w:color w:val="000000"/>
                <w:rtl w:val="0"/>
              </w:rPr>
              <w:t xml:space="preserve">Equity</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1">
            <w:pPr>
              <w:spacing w:after="0" w:lineRule="auto"/>
              <w:rPr>
                <w:color w:val="000000"/>
              </w:rPr>
            </w:pPr>
            <w:r w:rsidDel="00000000" w:rsidR="00000000" w:rsidRPr="00000000">
              <w:rPr>
                <w:color w:val="000000"/>
                <w:rtl w:val="0"/>
              </w:rPr>
              <w:t xml:space="preserve">Providing high-quality interventions uniformly and in a fair and impartial manner to all target populations including underserved groups.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2">
            <w:pPr>
              <w:spacing w:after="0" w:lineRule="auto"/>
              <w:rPr>
                <w:b w:val="1"/>
                <w:color w:val="000000"/>
              </w:rPr>
            </w:pPr>
            <w:r w:rsidDel="00000000" w:rsidR="00000000" w:rsidRPr="00000000">
              <w:rPr>
                <w:b w:val="1"/>
                <w:color w:val="000000"/>
                <w:rtl w:val="0"/>
              </w:rPr>
              <w:t xml:space="preserve">Ethical Use</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3">
            <w:pPr>
              <w:spacing w:after="0" w:lineRule="auto"/>
              <w:rPr>
                <w:color w:val="000000"/>
              </w:rPr>
            </w:pPr>
            <w:r w:rsidDel="00000000" w:rsidR="00000000" w:rsidRPr="00000000">
              <w:rPr>
                <w:color w:val="000000"/>
                <w:rtl w:val="0"/>
              </w:rPr>
              <w:t xml:space="preserve">Morally right, rooted in equality, and aiming to prioritize good and minimize harm.</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4">
            <w:pPr>
              <w:spacing w:after="0" w:lineRule="auto"/>
              <w:rPr>
                <w:b w:val="1"/>
                <w:color w:val="000000"/>
              </w:rPr>
            </w:pPr>
            <w:r w:rsidDel="00000000" w:rsidR="00000000" w:rsidRPr="00000000">
              <w:rPr>
                <w:b w:val="1"/>
                <w:color w:val="000000"/>
                <w:rtl w:val="0"/>
              </w:rPr>
              <w:t xml:space="preserve">Fixed permanent vaccination posts</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5">
            <w:pPr>
              <w:spacing w:after="0" w:lineRule="auto"/>
              <w:rPr>
                <w:color w:val="000000"/>
              </w:rPr>
            </w:pPr>
            <w:r w:rsidDel="00000000" w:rsidR="00000000" w:rsidRPr="00000000">
              <w:rPr>
                <w:color w:val="000000"/>
                <w:rtl w:val="0"/>
              </w:rPr>
              <w:t xml:space="preserve">Posts located at permanent health facilities and community health posts as a part of the fixed vaccination posts SIA strategy for the entire duration of the SIA.</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6">
            <w:pPr>
              <w:spacing w:after="0" w:lineRule="auto"/>
              <w:rPr>
                <w:b w:val="1"/>
                <w:color w:val="000000"/>
              </w:rPr>
            </w:pPr>
            <w:r w:rsidDel="00000000" w:rsidR="00000000" w:rsidRPr="00000000">
              <w:rPr>
                <w:b w:val="1"/>
                <w:color w:val="000000"/>
                <w:rtl w:val="0"/>
              </w:rPr>
              <w:t xml:space="preserve">Fixed post with house-to-house canvassing</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7">
            <w:pPr>
              <w:spacing w:after="0" w:lineRule="auto"/>
              <w:rPr>
                <w:color w:val="000000"/>
              </w:rPr>
            </w:pPr>
            <w:r w:rsidDel="00000000" w:rsidR="00000000" w:rsidRPr="00000000">
              <w:rPr>
                <w:color w:val="000000"/>
                <w:rtl w:val="0"/>
              </w:rPr>
              <w:t xml:space="preserve">SIA strategy with added social mobilization element, which involves a trained volunteer/ community mobilizer ("canvasser") encouraging the population to come to the vaccination post.</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8">
            <w:pPr>
              <w:spacing w:after="0" w:lineRule="auto"/>
              <w:rPr>
                <w:b w:val="1"/>
                <w:color w:val="000000"/>
              </w:rPr>
            </w:pPr>
            <w:r w:rsidDel="00000000" w:rsidR="00000000" w:rsidRPr="00000000">
              <w:rPr>
                <w:b w:val="1"/>
                <w:color w:val="000000"/>
                <w:rtl w:val="0"/>
              </w:rPr>
              <w:t xml:space="preserve">Fixed temporary vaccination posts</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9">
            <w:pPr>
              <w:spacing w:after="0" w:lineRule="auto"/>
              <w:rPr>
                <w:color w:val="000000"/>
              </w:rPr>
            </w:pPr>
            <w:r w:rsidDel="00000000" w:rsidR="00000000" w:rsidRPr="00000000">
              <w:rPr>
                <w:color w:val="000000"/>
                <w:rtl w:val="0"/>
              </w:rPr>
              <w:t xml:space="preserve">Posts that may be set up at schools, churches, mosques, local administrators’ offices, for the time estimated to complete the vaccination of the targeted population of that area (may be less than the duration of the SIA).</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A">
            <w:pPr>
              <w:spacing w:after="0" w:lineRule="auto"/>
              <w:rPr>
                <w:b w:val="1"/>
                <w:color w:val="000000"/>
              </w:rPr>
            </w:pPr>
            <w:r w:rsidDel="00000000" w:rsidR="00000000" w:rsidRPr="00000000">
              <w:rPr>
                <w:b w:val="1"/>
                <w:color w:val="000000"/>
                <w:rtl w:val="0"/>
              </w:rPr>
              <w:t xml:space="preserve">Fixed vaccination posts</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B">
            <w:pPr>
              <w:spacing w:after="0" w:lineRule="auto"/>
              <w:rPr>
                <w:color w:val="000000"/>
              </w:rPr>
            </w:pPr>
            <w:r w:rsidDel="00000000" w:rsidR="00000000" w:rsidRPr="00000000">
              <w:rPr>
                <w:color w:val="000000"/>
                <w:rtl w:val="0"/>
              </w:rPr>
              <w:t xml:space="preserve">Effective SIA strategy in settings where there is high demand for vaccination, social mobilization is strong and house-to-house visits are not needed; includes permanent and temporary vaccination posts.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C">
            <w:pPr>
              <w:spacing w:after="0" w:lineRule="auto"/>
              <w:rPr>
                <w:b w:val="1"/>
                <w:color w:val="000000"/>
              </w:rPr>
            </w:pPr>
            <w:r w:rsidDel="00000000" w:rsidR="00000000" w:rsidRPr="00000000">
              <w:rPr>
                <w:b w:val="1"/>
                <w:color w:val="000000"/>
                <w:rtl w:val="0"/>
              </w:rPr>
              <w:t xml:space="preserve">Full integration</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D">
            <w:pPr>
              <w:spacing w:after="0" w:lineRule="auto"/>
              <w:rPr>
                <w:color w:val="000000"/>
              </w:rPr>
            </w:pPr>
            <w:r w:rsidDel="00000000" w:rsidR="00000000" w:rsidRPr="00000000">
              <w:rPr>
                <w:color w:val="000000"/>
                <w:rtl w:val="0"/>
              </w:rPr>
              <w:t xml:space="preserve">Full integration involves coordinating most or all campaign components (e.g., microplanning, registration, logistics, implementation, evaluation) to allow simultaneous or </w:t>
            </w:r>
            <w:r w:rsidDel="00000000" w:rsidR="00000000" w:rsidRPr="00000000">
              <w:rPr>
                <w:i w:val="1"/>
                <w:color w:val="000000"/>
                <w:rtl w:val="0"/>
              </w:rPr>
              <w:t xml:space="preserve">co-delivery</w:t>
            </w:r>
            <w:r w:rsidDel="00000000" w:rsidR="00000000" w:rsidRPr="00000000">
              <w:rPr>
                <w:color w:val="000000"/>
                <w:rtl w:val="0"/>
              </w:rPr>
              <w:t xml:space="preserve"> of two or more health interventions at the point of service delivery.</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E">
            <w:pPr>
              <w:spacing w:after="0" w:lineRule="auto"/>
              <w:rPr>
                <w:b w:val="1"/>
                <w:color w:val="000000"/>
              </w:rPr>
            </w:pPr>
            <w:r w:rsidDel="00000000" w:rsidR="00000000" w:rsidRPr="00000000">
              <w:rPr>
                <w:b w:val="1"/>
                <w:color w:val="000000"/>
                <w:rtl w:val="0"/>
              </w:rPr>
              <w:t xml:space="preserve">House-to-house vaccination</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9F">
            <w:pPr>
              <w:spacing w:after="0" w:lineRule="auto"/>
              <w:rPr>
                <w:color w:val="000000"/>
              </w:rPr>
            </w:pPr>
            <w:r w:rsidDel="00000000" w:rsidR="00000000" w:rsidRPr="00000000">
              <w:rPr>
                <w:color w:val="000000"/>
                <w:rtl w:val="0"/>
              </w:rPr>
              <w:t xml:space="preserve">SIA strategy recommended mainly as a mop-up strategy in areas where there is prior evidence of refusal of vaccination.</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0">
            <w:pPr>
              <w:spacing w:after="0" w:lineRule="auto"/>
              <w:rPr>
                <w:b w:val="1"/>
                <w:color w:val="000000"/>
              </w:rPr>
            </w:pPr>
            <w:r w:rsidDel="00000000" w:rsidR="00000000" w:rsidRPr="00000000">
              <w:rPr>
                <w:b w:val="1"/>
                <w:color w:val="000000"/>
                <w:rtl w:val="0"/>
              </w:rPr>
              <w:t xml:space="preserve">Ineligible population</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1">
            <w:pPr>
              <w:spacing w:after="0" w:lineRule="auto"/>
              <w:rPr>
                <w:color w:val="000000"/>
              </w:rPr>
            </w:pPr>
            <w:r w:rsidDel="00000000" w:rsidR="00000000" w:rsidRPr="00000000">
              <w:rPr>
                <w:color w:val="000000"/>
                <w:rtl w:val="0"/>
              </w:rPr>
              <w:t xml:space="preserve">Group of individuals not qualified or entitled to receive anthelminthic treatment in preventive chemotherapy interventions. Ineligibility is usually determined by exclusion criteria based on drug safety. </w:t>
            </w:r>
            <w:r w:rsidDel="00000000" w:rsidR="00000000" w:rsidRPr="00000000">
              <w:rPr>
                <w:color w:val="000000"/>
                <w:vertAlign w:val="superscript"/>
                <w:rtl w:val="0"/>
              </w:rPr>
              <w:t xml:space="preserve">3</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2">
            <w:pPr>
              <w:spacing w:after="0" w:lineRule="auto"/>
              <w:rPr>
                <w:b w:val="1"/>
                <w:color w:val="000000"/>
              </w:rPr>
            </w:pPr>
            <w:r w:rsidDel="00000000" w:rsidR="00000000" w:rsidRPr="00000000">
              <w:rPr>
                <w:b w:val="1"/>
                <w:color w:val="000000"/>
                <w:rtl w:val="0"/>
              </w:rPr>
              <w:t xml:space="preserve">Mass drug administration (MDA)</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3">
            <w:pPr>
              <w:spacing w:after="0" w:line="240" w:lineRule="auto"/>
              <w:rPr>
                <w:color w:val="000000"/>
              </w:rPr>
            </w:pPr>
            <w:r w:rsidDel="00000000" w:rsidR="00000000" w:rsidRPr="00000000">
              <w:rPr>
                <w:color w:val="000000"/>
                <w:rtl w:val="0"/>
              </w:rPr>
              <w:t xml:space="preserve">A modality of preventive chemotherapy in which anthelminthic medicines are administered to the entire population of an area (e.g. state, region, province, district, sub-district, village) at regular intervals, irrespective of the individual infection status.</w:t>
            </w:r>
            <w:r w:rsidDel="00000000" w:rsidR="00000000" w:rsidRPr="00000000">
              <w:rPr>
                <w:color w:val="000000"/>
                <w:vertAlign w:val="superscript"/>
                <w:rtl w:val="0"/>
              </w:rPr>
              <w:t xml:space="preserve">3</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4">
            <w:pPr>
              <w:spacing w:after="0" w:lineRule="auto"/>
              <w:rPr>
                <w:b w:val="1"/>
                <w:color w:val="000000"/>
              </w:rPr>
            </w:pPr>
            <w:r w:rsidDel="00000000" w:rsidR="00000000" w:rsidRPr="00000000">
              <w:rPr>
                <w:b w:val="1"/>
                <w:color w:val="000000"/>
                <w:rtl w:val="0"/>
              </w:rPr>
              <w:t xml:space="preserve">Mobile vaccination posts</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5">
            <w:pPr>
              <w:spacing w:after="0" w:lineRule="auto"/>
              <w:rPr>
                <w:color w:val="000000"/>
              </w:rPr>
            </w:pPr>
            <w:r w:rsidDel="00000000" w:rsidR="00000000" w:rsidRPr="00000000">
              <w:rPr>
                <w:color w:val="000000"/>
                <w:rtl w:val="0"/>
              </w:rPr>
              <w:t xml:space="preserve">Posts required at distant villages and rural settlements with very small and/or disperse populations, set up for the time needed to complete the task (usually less than one day).</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6">
            <w:pPr>
              <w:spacing w:after="0" w:lineRule="auto"/>
              <w:rPr>
                <w:b w:val="1"/>
                <w:color w:val="000000"/>
              </w:rPr>
            </w:pPr>
            <w:r w:rsidDel="00000000" w:rsidR="00000000" w:rsidRPr="00000000">
              <w:rPr>
                <w:b w:val="1"/>
                <w:color w:val="000000"/>
                <w:rtl w:val="0"/>
              </w:rPr>
              <w:t xml:space="preserve">Partial Integration</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7">
            <w:pPr>
              <w:spacing w:after="0" w:lineRule="auto"/>
              <w:rPr>
                <w:color w:val="000000"/>
              </w:rPr>
            </w:pPr>
            <w:r w:rsidDel="00000000" w:rsidR="00000000" w:rsidRPr="00000000">
              <w:rPr>
                <w:color w:val="000000"/>
                <w:rtl w:val="0"/>
              </w:rPr>
              <w:t xml:space="preserve">Partial integration involves collaboration or sharing of specific campaign components between vertical health programs to improve efficiency and effectiveness of multiple campaigns, but without co-delivery of interventions at the same service delivery points.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8">
            <w:pPr>
              <w:spacing w:after="0" w:lineRule="auto"/>
              <w:rPr>
                <w:b w:val="1"/>
                <w:color w:val="000000"/>
              </w:rPr>
            </w:pPr>
            <w:r w:rsidDel="00000000" w:rsidR="00000000" w:rsidRPr="00000000">
              <w:rPr>
                <w:b w:val="1"/>
                <w:color w:val="000000"/>
                <w:rtl w:val="0"/>
              </w:rPr>
              <w:t xml:space="preserve">People-centered care</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9">
            <w:pPr>
              <w:spacing w:after="0" w:lineRule="auto"/>
              <w:rPr>
                <w:color w:val="000000"/>
              </w:rPr>
            </w:pPr>
            <w:r w:rsidDel="00000000" w:rsidR="00000000" w:rsidRPr="00000000">
              <w:rPr>
                <w:color w:val="000000"/>
                <w:rtl w:val="0"/>
              </w:rPr>
              <w:t xml:space="preserve">An approach to care that consciously adopts individuals’, caretakers’, families’ and communities’ perspectives as participants in, and beneficiaries of, trusted health systems that are organized around the comprehensive needs of people rather than individual diseases, and respects social preferences. People-centered care also requires that patients have the education and support they need to make decisions and participate in their own care and that caretakers are able to attain maximal function within a supportive working environment. People-centered care is broader than patient and person-centered care, encompassing not only clinical encounters, but also including attention to the health of people in their communities and their crucial role in shaping health policy and health services.</w:t>
            </w:r>
            <w:r w:rsidDel="00000000" w:rsidR="00000000" w:rsidRPr="00000000">
              <w:rPr>
                <w:color w:val="000000"/>
                <w:vertAlign w:val="superscript"/>
                <w:rtl w:val="0"/>
              </w:rPr>
              <w:t xml:space="preserve">17</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shd w:fill="ffffff" w:val="clear"/>
            <w:tcMar>
              <w:top w:w="29.0" w:type="dxa"/>
              <w:left w:w="29.0" w:type="dxa"/>
              <w:bottom w:w="29.0" w:type="dxa"/>
              <w:right w:w="29.0" w:type="dxa"/>
            </w:tcMar>
            <w:vAlign w:val="center"/>
          </w:tcPr>
          <w:p w:rsidR="00000000" w:rsidDel="00000000" w:rsidP="00000000" w:rsidRDefault="00000000" w:rsidRPr="00000000" w14:paraId="000007AA">
            <w:pPr>
              <w:spacing w:after="0" w:lineRule="auto"/>
              <w:rPr>
                <w:b w:val="1"/>
                <w:color w:val="000000"/>
              </w:rPr>
            </w:pPr>
            <w:r w:rsidDel="00000000" w:rsidR="00000000" w:rsidRPr="00000000">
              <w:rPr>
                <w:b w:val="1"/>
                <w:color w:val="000000"/>
                <w:rtl w:val="0"/>
              </w:rPr>
              <w:t xml:space="preserve">Place of Delivery and Distribution Mode</w:t>
            </w:r>
          </w:p>
        </w:tc>
        <w:tc>
          <w:tcPr>
            <w:tcBorders>
              <w:top w:color="000000" w:space="0" w:sz="8" w:val="single"/>
              <w:left w:color="000000" w:space="0" w:sz="8" w:val="single"/>
              <w:bottom w:color="000000" w:space="0" w:sz="8" w:val="single"/>
              <w:right w:color="000000" w:space="0" w:sz="8" w:val="single"/>
            </w:tcBorders>
            <w:shd w:fill="ffffff" w:val="clear"/>
            <w:tcMar>
              <w:top w:w="29.0" w:type="dxa"/>
              <w:left w:w="29.0" w:type="dxa"/>
              <w:bottom w:w="29.0" w:type="dxa"/>
              <w:right w:w="29.0" w:type="dxa"/>
            </w:tcMar>
            <w:vAlign w:val="center"/>
          </w:tcPr>
          <w:p w:rsidR="00000000" w:rsidDel="00000000" w:rsidP="00000000" w:rsidRDefault="00000000" w:rsidRPr="00000000" w14:paraId="000007AB">
            <w:pPr>
              <w:spacing w:after="0" w:lineRule="auto"/>
              <w:rPr>
                <w:color w:val="000000"/>
              </w:rPr>
            </w:pPr>
            <w:r w:rsidDel="00000000" w:rsidR="00000000" w:rsidRPr="00000000">
              <w:rPr>
                <w:color w:val="000000"/>
                <w:rtl w:val="0"/>
              </w:rPr>
              <w:t xml:space="preserve">Options include fixed post (permanent and/or temporary), mobile post, fixed or mobile post with house to house canvassing, etc.</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C">
            <w:pPr>
              <w:spacing w:after="0" w:lineRule="auto"/>
              <w:rPr>
                <w:b w:val="1"/>
                <w:color w:val="000000"/>
              </w:rPr>
            </w:pPr>
            <w:r w:rsidDel="00000000" w:rsidR="00000000" w:rsidRPr="00000000">
              <w:rPr>
                <w:b w:val="1"/>
                <w:color w:val="000000"/>
                <w:rtl w:val="0"/>
              </w:rPr>
              <w:t xml:space="preserve">Preferences of beneficiaries</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D">
            <w:pPr>
              <w:spacing w:after="0" w:lineRule="auto"/>
              <w:rPr>
                <w:color w:val="000000"/>
              </w:rPr>
            </w:pPr>
            <w:r w:rsidDel="00000000" w:rsidR="00000000" w:rsidRPr="00000000">
              <w:rPr>
                <w:color w:val="000000"/>
                <w:rtl w:val="0"/>
              </w:rPr>
              <w:t xml:space="preserve">Consider community activities/celebrations and local events such as religious festivals, key agricultural activities, and timing of political activities.</w:t>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E">
            <w:pPr>
              <w:spacing w:after="0" w:lineRule="auto"/>
              <w:rPr>
                <w:b w:val="1"/>
                <w:color w:val="000000"/>
              </w:rPr>
            </w:pPr>
            <w:r w:rsidDel="00000000" w:rsidR="00000000" w:rsidRPr="00000000">
              <w:rPr>
                <w:b w:val="1"/>
                <w:color w:val="000000"/>
                <w:rtl w:val="0"/>
              </w:rPr>
              <w:t xml:space="preserve">Seasonality</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AF">
            <w:pPr>
              <w:spacing w:after="0" w:lineRule="auto"/>
              <w:rPr>
                <w:color w:val="000000"/>
              </w:rPr>
            </w:pPr>
            <w:r w:rsidDel="00000000" w:rsidR="00000000" w:rsidRPr="00000000">
              <w:rPr>
                <w:color w:val="000000"/>
                <w:rtl w:val="0"/>
              </w:rPr>
              <w:t xml:space="preserve">Consider disease peaks, transmission, weather conditions/climate (rainy seasons, winters with heavy snowfalls), </w:t>
            </w:r>
            <w:r w:rsidDel="00000000" w:rsidR="00000000" w:rsidRPr="00000000">
              <w:rPr>
                <w:color w:val="000000"/>
                <w:vertAlign w:val="superscript"/>
                <w:rtl w:val="0"/>
              </w:rPr>
              <w:t xml:space="preserve">18</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B0">
            <w:pPr>
              <w:spacing w:after="0" w:lineRule="auto"/>
              <w:rPr>
                <w:b w:val="1"/>
                <w:color w:val="000000"/>
              </w:rPr>
            </w:pPr>
            <w:r w:rsidDel="00000000" w:rsidR="00000000" w:rsidRPr="00000000">
              <w:rPr>
                <w:b w:val="1"/>
                <w:color w:val="000000"/>
                <w:rtl w:val="0"/>
              </w:rPr>
              <w:t xml:space="preserve">Social mobilization</w:t>
            </w:r>
          </w:p>
        </w:tc>
        <w:tc>
          <w:tcPr>
            <w:tcBorders>
              <w:top w:color="000000" w:space="0" w:sz="8" w:val="single"/>
              <w:left w:color="000000" w:space="0" w:sz="8" w:val="single"/>
              <w:bottom w:color="000000" w:space="0" w:sz="8" w:val="single"/>
              <w:right w:color="000000" w:space="0" w:sz="8" w:val="single"/>
            </w:tcBorders>
            <w:shd w:fill="auto" w:val="clear"/>
            <w:tcMar>
              <w:top w:w="29.0" w:type="dxa"/>
              <w:left w:w="29.0" w:type="dxa"/>
              <w:bottom w:w="29.0" w:type="dxa"/>
              <w:right w:w="29.0" w:type="dxa"/>
            </w:tcMar>
            <w:vAlign w:val="center"/>
          </w:tcPr>
          <w:p w:rsidR="00000000" w:rsidDel="00000000" w:rsidP="00000000" w:rsidRDefault="00000000" w:rsidRPr="00000000" w14:paraId="000007B1">
            <w:pPr>
              <w:spacing w:after="0" w:lineRule="auto"/>
              <w:rPr>
                <w:color w:val="000000"/>
              </w:rPr>
            </w:pPr>
            <w:r w:rsidDel="00000000" w:rsidR="00000000" w:rsidRPr="00000000">
              <w:rPr>
                <w:color w:val="000000"/>
                <w:rtl w:val="0"/>
              </w:rPr>
              <w:t xml:space="preserve">A group of broad-scale activities to engage with all segments of society aiming to disseminate information and ensure appropriate awareness.</w:t>
            </w:r>
          </w:p>
        </w:tc>
      </w:tr>
    </w:tbl>
    <w:p w:rsidR="00000000" w:rsidDel="00000000" w:rsidP="00000000" w:rsidRDefault="00000000" w:rsidRPr="00000000" w14:paraId="000007B2">
      <w:pPr>
        <w:pStyle w:val="Heading1"/>
        <w:rPr>
          <w:b w:val="1"/>
          <w:color w:val="000000"/>
          <w:sz w:val="22"/>
          <w:szCs w:val="22"/>
        </w:rPr>
      </w:pPr>
      <w:bookmarkStart w:colFirst="0" w:colLast="0" w:name="_heading=h.3cqighjq65py" w:id="22"/>
      <w:bookmarkEnd w:id="22"/>
      <w:r w:rsidDel="00000000" w:rsidR="00000000" w:rsidRPr="00000000">
        <w:rPr>
          <w:rtl w:val="0"/>
        </w:rPr>
      </w:r>
    </w:p>
    <w:p w:rsidR="00000000" w:rsidDel="00000000" w:rsidP="00000000" w:rsidRDefault="00000000" w:rsidRPr="00000000" w14:paraId="000007B3">
      <w:pPr>
        <w:pStyle w:val="Heading1"/>
        <w:rPr>
          <w:b w:val="1"/>
          <w:color w:val="000000"/>
          <w:sz w:val="22"/>
          <w:szCs w:val="22"/>
        </w:rPr>
      </w:pPr>
      <w:bookmarkStart w:colFirst="0" w:colLast="0" w:name="_heading=h.2zpvz6dou2q7" w:id="23"/>
      <w:bookmarkEnd w:id="23"/>
      <w:r w:rsidDel="00000000" w:rsidR="00000000" w:rsidRPr="00000000">
        <w:br w:type="page"/>
      </w:r>
      <w:r w:rsidDel="00000000" w:rsidR="00000000" w:rsidRPr="00000000">
        <w:rPr>
          <w:rtl w:val="0"/>
        </w:rPr>
      </w:r>
    </w:p>
    <w:p w:rsidR="00000000" w:rsidDel="00000000" w:rsidP="00000000" w:rsidRDefault="00000000" w:rsidRPr="00000000" w14:paraId="000007B4">
      <w:pPr>
        <w:pStyle w:val="Heading1"/>
        <w:jc w:val="center"/>
        <w:rPr>
          <w:rFonts w:ascii="Calibri" w:cs="Calibri" w:eastAsia="Calibri" w:hAnsi="Calibri"/>
          <w:b w:val="1"/>
          <w:color w:val="000000"/>
        </w:rPr>
      </w:pPr>
      <w:bookmarkStart w:colFirst="0" w:colLast="0" w:name="_heading=h.vasd7qbrow5a" w:id="24"/>
      <w:bookmarkEnd w:id="24"/>
      <w:r w:rsidDel="00000000" w:rsidR="00000000" w:rsidRPr="00000000">
        <w:rPr>
          <w:rFonts w:ascii="Calibri" w:cs="Calibri" w:eastAsia="Calibri" w:hAnsi="Calibri"/>
          <w:b w:val="1"/>
          <w:color w:val="000000"/>
          <w:rtl w:val="0"/>
        </w:rPr>
        <w:t xml:space="preserve">References (draft)</w:t>
      </w:r>
    </w:p>
    <w:p w:rsidR="00000000" w:rsidDel="00000000" w:rsidP="00000000" w:rsidRDefault="00000000" w:rsidRPr="00000000" w14:paraId="000007B5">
      <w:pPr>
        <w:widowControl w:val="0"/>
        <w:spacing w:line="240" w:lineRule="auto"/>
        <w:ind w:left="640" w:hanging="640"/>
        <w:rPr>
          <w:color w:val="000000"/>
          <w:sz w:val="21"/>
          <w:szCs w:val="21"/>
        </w:rPr>
      </w:pPr>
      <w:r w:rsidDel="00000000" w:rsidR="00000000" w:rsidRPr="00000000">
        <w:rPr>
          <w:color w:val="000000"/>
          <w:sz w:val="21"/>
          <w:szCs w:val="21"/>
          <w:rtl w:val="0"/>
        </w:rPr>
        <w:t xml:space="preserve">1. </w:t>
        <w:tab/>
        <w:t xml:space="preserve">Lavery J V. Wicked problems’, community engagement and the need for an implementation science for research ethics. </w:t>
      </w:r>
      <w:r w:rsidDel="00000000" w:rsidR="00000000" w:rsidRPr="00000000">
        <w:rPr>
          <w:i w:val="1"/>
          <w:color w:val="000000"/>
          <w:sz w:val="21"/>
          <w:szCs w:val="21"/>
          <w:rtl w:val="0"/>
        </w:rPr>
        <w:t xml:space="preserve">J Med Ethics</w:t>
      </w:r>
      <w:r w:rsidDel="00000000" w:rsidR="00000000" w:rsidRPr="00000000">
        <w:rPr>
          <w:color w:val="000000"/>
          <w:sz w:val="21"/>
          <w:szCs w:val="21"/>
          <w:rtl w:val="0"/>
        </w:rPr>
        <w:t xml:space="preserve">. 2018;44(3):163-164. doi:10.1136/medethics-2016-103573</w:t>
      </w:r>
    </w:p>
    <w:p w:rsidR="00000000" w:rsidDel="00000000" w:rsidP="00000000" w:rsidRDefault="00000000" w:rsidRPr="00000000" w14:paraId="000007B6">
      <w:pPr>
        <w:widowControl w:val="0"/>
        <w:spacing w:line="240" w:lineRule="auto"/>
        <w:ind w:left="640" w:hanging="640"/>
        <w:rPr>
          <w:color w:val="000000"/>
          <w:sz w:val="21"/>
          <w:szCs w:val="21"/>
        </w:rPr>
      </w:pPr>
      <w:r w:rsidDel="00000000" w:rsidR="00000000" w:rsidRPr="00000000">
        <w:rPr>
          <w:color w:val="000000"/>
          <w:sz w:val="21"/>
          <w:szCs w:val="21"/>
          <w:rtl w:val="0"/>
        </w:rPr>
        <w:t xml:space="preserve">2. </w:t>
        <w:tab/>
        <w:t xml:space="preserve">Lavery J V. Building an evidence base for stakeholder engagement. </w:t>
      </w:r>
      <w:r w:rsidDel="00000000" w:rsidR="00000000" w:rsidRPr="00000000">
        <w:rPr>
          <w:i w:val="1"/>
          <w:color w:val="000000"/>
          <w:sz w:val="21"/>
          <w:szCs w:val="21"/>
          <w:rtl w:val="0"/>
        </w:rPr>
        <w:t xml:space="preserve">Science</w:t>
      </w:r>
      <w:r w:rsidDel="00000000" w:rsidR="00000000" w:rsidRPr="00000000">
        <w:rPr>
          <w:color w:val="000000"/>
          <w:sz w:val="21"/>
          <w:szCs w:val="21"/>
          <w:rtl w:val="0"/>
        </w:rPr>
        <w:t xml:space="preserve">. 2018;361(6402):554-556. doi:10.1126/science.aat8429</w:t>
      </w:r>
    </w:p>
    <w:p w:rsidR="00000000" w:rsidDel="00000000" w:rsidP="00000000" w:rsidRDefault="00000000" w:rsidRPr="00000000" w14:paraId="000007B7">
      <w:pPr>
        <w:widowControl w:val="0"/>
        <w:spacing w:line="240" w:lineRule="auto"/>
        <w:ind w:left="640" w:hanging="640"/>
        <w:rPr>
          <w:color w:val="000000"/>
          <w:sz w:val="21"/>
          <w:szCs w:val="21"/>
        </w:rPr>
      </w:pPr>
      <w:r w:rsidDel="00000000" w:rsidR="00000000" w:rsidRPr="00000000">
        <w:rPr>
          <w:color w:val="000000"/>
          <w:sz w:val="21"/>
          <w:szCs w:val="21"/>
          <w:rtl w:val="0"/>
        </w:rPr>
        <w:t xml:space="preserve">3. </w:t>
        <w:tab/>
        <w:t xml:space="preserve">WHO. </w:t>
      </w:r>
      <w:r w:rsidDel="00000000" w:rsidR="00000000" w:rsidRPr="00000000">
        <w:rPr>
          <w:i w:val="1"/>
          <w:color w:val="000000"/>
          <w:sz w:val="21"/>
          <w:szCs w:val="21"/>
          <w:rtl w:val="0"/>
        </w:rPr>
        <w:t xml:space="preserve">World Health Organization Global Programme To Eliminate Lymphatic Filariasis</w:t>
      </w:r>
      <w:r w:rsidDel="00000000" w:rsidR="00000000" w:rsidRPr="00000000">
        <w:rPr>
          <w:color w:val="000000"/>
          <w:sz w:val="21"/>
          <w:szCs w:val="21"/>
          <w:rtl w:val="0"/>
        </w:rPr>
        <w:t xml:space="preserve">.; 2010. Accessed April 23, 2020. https://apps.who.int/iris/bitstream/handle/10665/44473/9789241500722_eng.pdf?sequence=1</w:t>
      </w:r>
    </w:p>
    <w:p w:rsidR="00000000" w:rsidDel="00000000" w:rsidP="00000000" w:rsidRDefault="00000000" w:rsidRPr="00000000" w14:paraId="000007B8">
      <w:pPr>
        <w:widowControl w:val="0"/>
        <w:spacing w:line="240" w:lineRule="auto"/>
        <w:ind w:left="640" w:hanging="640"/>
        <w:rPr>
          <w:color w:val="000000"/>
          <w:sz w:val="21"/>
          <w:szCs w:val="21"/>
        </w:rPr>
      </w:pPr>
      <w:r w:rsidDel="00000000" w:rsidR="00000000" w:rsidRPr="00000000">
        <w:rPr>
          <w:color w:val="000000"/>
          <w:sz w:val="21"/>
          <w:szCs w:val="21"/>
          <w:rtl w:val="0"/>
        </w:rPr>
        <w:t xml:space="preserve">4. </w:t>
        <w:tab/>
        <w:t xml:space="preserve">Dalmiya N, Greig A, Knowles J. </w:t>
      </w:r>
      <w:r w:rsidDel="00000000" w:rsidR="00000000" w:rsidRPr="00000000">
        <w:rPr>
          <w:i w:val="1"/>
          <w:color w:val="000000"/>
          <w:sz w:val="21"/>
          <w:szCs w:val="21"/>
          <w:rtl w:val="0"/>
        </w:rPr>
        <w:t xml:space="preserve">GAVA - Monitoring of Vitamin A Supplementation - A Guide for National Managers</w:t>
      </w:r>
      <w:r w:rsidDel="00000000" w:rsidR="00000000" w:rsidRPr="00000000">
        <w:rPr>
          <w:color w:val="000000"/>
          <w:sz w:val="21"/>
          <w:szCs w:val="21"/>
          <w:rtl w:val="0"/>
        </w:rPr>
        <w:t xml:space="preserve">.; 2017. http://www.gava.org/content/user_files/2017/08/GAVA-district-vas-monitoring-guide-1.pdf</w:t>
      </w:r>
    </w:p>
    <w:p w:rsidR="00000000" w:rsidDel="00000000" w:rsidP="00000000" w:rsidRDefault="00000000" w:rsidRPr="00000000" w14:paraId="000007B9">
      <w:pPr>
        <w:widowControl w:val="0"/>
        <w:spacing w:line="240" w:lineRule="auto"/>
        <w:ind w:left="640" w:hanging="640"/>
        <w:rPr>
          <w:color w:val="000000"/>
          <w:sz w:val="21"/>
          <w:szCs w:val="21"/>
        </w:rPr>
      </w:pPr>
      <w:r w:rsidDel="00000000" w:rsidR="00000000" w:rsidRPr="00000000">
        <w:rPr>
          <w:color w:val="000000"/>
          <w:sz w:val="21"/>
          <w:szCs w:val="21"/>
          <w:rtl w:val="0"/>
        </w:rPr>
        <w:t xml:space="preserve">5. </w:t>
        <w:tab/>
        <w:t xml:space="preserve">WHO. </w:t>
      </w:r>
      <w:r w:rsidDel="00000000" w:rsidR="00000000" w:rsidRPr="00000000">
        <w:rPr>
          <w:i w:val="1"/>
          <w:color w:val="000000"/>
          <w:sz w:val="21"/>
          <w:szCs w:val="21"/>
          <w:rtl w:val="0"/>
        </w:rPr>
        <w:t xml:space="preserve">Vitamin A Supplementation in Infants and Children 6-59 Months of Age II Vitamin A Supplementation in Infants and Children 6-59 Months of Age</w:t>
      </w:r>
      <w:r w:rsidDel="00000000" w:rsidR="00000000" w:rsidRPr="00000000">
        <w:rPr>
          <w:color w:val="000000"/>
          <w:sz w:val="21"/>
          <w:szCs w:val="21"/>
          <w:rtl w:val="0"/>
        </w:rPr>
        <w:t xml:space="preserve">.; 2011. Accessed April 23, 2020. https://apps.who.int/iris/bitstream/handle/10665/44664/9789241501767_eng.pdf?sequence=1</w:t>
      </w:r>
    </w:p>
    <w:p w:rsidR="00000000" w:rsidDel="00000000" w:rsidP="00000000" w:rsidRDefault="00000000" w:rsidRPr="00000000" w14:paraId="000007BA">
      <w:pPr>
        <w:widowControl w:val="0"/>
        <w:spacing w:line="240" w:lineRule="auto"/>
        <w:ind w:left="640" w:hanging="640"/>
        <w:rPr>
          <w:color w:val="000000"/>
          <w:sz w:val="21"/>
          <w:szCs w:val="21"/>
        </w:rPr>
      </w:pPr>
      <w:r w:rsidDel="00000000" w:rsidR="00000000" w:rsidRPr="00000000">
        <w:rPr>
          <w:color w:val="000000"/>
          <w:sz w:val="21"/>
          <w:szCs w:val="21"/>
          <w:rtl w:val="0"/>
        </w:rPr>
        <w:t xml:space="preserve">6. </w:t>
        <w:tab/>
        <w:t xml:space="preserve">WHO. Guidelines for stopping mass drug administration and verifying elimination of human onchocerciasis: Criteria and Procedures. </w:t>
      </w:r>
      <w:r w:rsidDel="00000000" w:rsidR="00000000" w:rsidRPr="00000000">
        <w:rPr>
          <w:i w:val="1"/>
          <w:color w:val="000000"/>
          <w:sz w:val="21"/>
          <w:szCs w:val="21"/>
          <w:rtl w:val="0"/>
        </w:rPr>
        <w:t xml:space="preserve">World Health Organization WHO/HTM/NTD/PCT Geneva, Switz</w:t>
      </w:r>
      <w:r w:rsidDel="00000000" w:rsidR="00000000" w:rsidRPr="00000000">
        <w:rPr>
          <w:color w:val="000000"/>
          <w:sz w:val="21"/>
          <w:szCs w:val="21"/>
          <w:rtl w:val="0"/>
        </w:rPr>
        <w:t xml:space="preserve">. 2016;14(3):62-75. Accessed April 23, 2020. https://apps.who.int/iris/bitstream/handle/10665/204180/9789241510011_eng.pdf</w:t>
      </w:r>
    </w:p>
    <w:p w:rsidR="00000000" w:rsidDel="00000000" w:rsidP="00000000" w:rsidRDefault="00000000" w:rsidRPr="00000000" w14:paraId="000007BB">
      <w:pPr>
        <w:widowControl w:val="0"/>
        <w:spacing w:line="240" w:lineRule="auto"/>
        <w:ind w:left="640" w:hanging="640"/>
        <w:rPr>
          <w:color w:val="000000"/>
          <w:sz w:val="21"/>
          <w:szCs w:val="21"/>
        </w:rPr>
      </w:pPr>
      <w:r w:rsidDel="00000000" w:rsidR="00000000" w:rsidRPr="00000000">
        <w:rPr>
          <w:color w:val="000000"/>
          <w:sz w:val="21"/>
          <w:szCs w:val="21"/>
          <w:rtl w:val="0"/>
        </w:rPr>
        <w:t xml:space="preserve">7. </w:t>
        <w:tab/>
        <w:t xml:space="preserve">International Coalition for Trachoma Control (ICTC). Micro-planning for effective Zithromax ® Mass Drug Administration. Published online 2015.</w:t>
      </w:r>
    </w:p>
    <w:p w:rsidR="00000000" w:rsidDel="00000000" w:rsidP="00000000" w:rsidRDefault="00000000" w:rsidRPr="00000000" w14:paraId="000007BC">
      <w:pPr>
        <w:widowControl w:val="0"/>
        <w:spacing w:line="240" w:lineRule="auto"/>
        <w:ind w:left="640" w:hanging="640"/>
        <w:rPr>
          <w:color w:val="000000"/>
          <w:sz w:val="21"/>
          <w:szCs w:val="21"/>
        </w:rPr>
      </w:pPr>
      <w:r w:rsidDel="00000000" w:rsidR="00000000" w:rsidRPr="00000000">
        <w:rPr>
          <w:color w:val="000000"/>
          <w:sz w:val="21"/>
          <w:szCs w:val="21"/>
          <w:rtl w:val="0"/>
        </w:rPr>
        <w:t xml:space="preserve">8. </w:t>
        <w:tab/>
        <w:t xml:space="preserve">Etya D. Vision 2020 : Update on Onchocerciasis. </w:t>
      </w:r>
      <w:r w:rsidDel="00000000" w:rsidR="00000000" w:rsidRPr="00000000">
        <w:rPr>
          <w:i w:val="1"/>
          <w:color w:val="000000"/>
          <w:sz w:val="21"/>
          <w:szCs w:val="21"/>
          <w:rtl w:val="0"/>
        </w:rPr>
        <w:t xml:space="preserve">Community Eye Heal</w:t>
      </w:r>
      <w:r w:rsidDel="00000000" w:rsidR="00000000" w:rsidRPr="00000000">
        <w:rPr>
          <w:color w:val="000000"/>
          <w:sz w:val="21"/>
          <w:szCs w:val="21"/>
          <w:rtl w:val="0"/>
        </w:rPr>
        <w:t xml:space="preserve">. 2010;14(38):19-21.</w:t>
      </w:r>
    </w:p>
    <w:p w:rsidR="00000000" w:rsidDel="00000000" w:rsidP="00000000" w:rsidRDefault="00000000" w:rsidRPr="00000000" w14:paraId="000007BD">
      <w:pPr>
        <w:widowControl w:val="0"/>
        <w:spacing w:line="240" w:lineRule="auto"/>
        <w:ind w:left="640" w:hanging="640"/>
        <w:rPr>
          <w:color w:val="000000"/>
          <w:sz w:val="21"/>
          <w:szCs w:val="21"/>
        </w:rPr>
      </w:pPr>
      <w:r w:rsidDel="00000000" w:rsidR="00000000" w:rsidRPr="00000000">
        <w:rPr>
          <w:color w:val="000000"/>
          <w:sz w:val="21"/>
          <w:szCs w:val="21"/>
          <w:rtl w:val="0"/>
        </w:rPr>
        <w:t xml:space="preserve">9. </w:t>
        <w:tab/>
        <w:t xml:space="preserve">Dalmiya N, Greig A, Knowles J. </w:t>
      </w:r>
      <w:r w:rsidDel="00000000" w:rsidR="00000000" w:rsidRPr="00000000">
        <w:rPr>
          <w:i w:val="1"/>
          <w:color w:val="000000"/>
          <w:sz w:val="21"/>
          <w:szCs w:val="21"/>
          <w:rtl w:val="0"/>
        </w:rPr>
        <w:t xml:space="preserve">GAVA - MONITORING OF VITAMIN A - District Guide</w:t>
      </w:r>
      <w:r w:rsidDel="00000000" w:rsidR="00000000" w:rsidRPr="00000000">
        <w:rPr>
          <w:color w:val="000000"/>
          <w:sz w:val="21"/>
          <w:szCs w:val="21"/>
          <w:rtl w:val="0"/>
        </w:rPr>
        <w:t xml:space="preserve">.</w:t>
      </w:r>
    </w:p>
    <w:p w:rsidR="00000000" w:rsidDel="00000000" w:rsidP="00000000" w:rsidRDefault="00000000" w:rsidRPr="00000000" w14:paraId="000007BE">
      <w:pPr>
        <w:widowControl w:val="0"/>
        <w:spacing w:line="240" w:lineRule="auto"/>
        <w:ind w:left="640" w:hanging="640"/>
        <w:rPr>
          <w:color w:val="000000"/>
          <w:sz w:val="21"/>
          <w:szCs w:val="21"/>
        </w:rPr>
      </w:pPr>
      <w:r w:rsidDel="00000000" w:rsidR="00000000" w:rsidRPr="00000000">
        <w:rPr>
          <w:color w:val="000000"/>
          <w:sz w:val="21"/>
          <w:szCs w:val="21"/>
          <w:rtl w:val="0"/>
        </w:rPr>
        <w:t xml:space="preserve">10. </w:t>
        <w:tab/>
        <w:t xml:space="preserve">United Nations Children’s Fund. UNICEF Immunization Roadmap 2018–2030. </w:t>
      </w:r>
      <w:r w:rsidDel="00000000" w:rsidR="00000000" w:rsidRPr="00000000">
        <w:rPr>
          <w:i w:val="1"/>
          <w:color w:val="000000"/>
          <w:sz w:val="21"/>
          <w:szCs w:val="21"/>
          <w:rtl w:val="0"/>
        </w:rPr>
        <w:t xml:space="preserve">UNICEF</w:t>
      </w:r>
      <w:r w:rsidDel="00000000" w:rsidR="00000000" w:rsidRPr="00000000">
        <w:rPr>
          <w:color w:val="000000"/>
          <w:sz w:val="21"/>
          <w:szCs w:val="21"/>
          <w:rtl w:val="0"/>
        </w:rPr>
        <w:t xml:space="preserve">. Published online 2018:1-48.</w:t>
      </w:r>
    </w:p>
    <w:p w:rsidR="00000000" w:rsidDel="00000000" w:rsidP="00000000" w:rsidRDefault="00000000" w:rsidRPr="00000000" w14:paraId="000007BF">
      <w:pPr>
        <w:widowControl w:val="0"/>
        <w:spacing w:line="240" w:lineRule="auto"/>
        <w:ind w:left="640" w:hanging="640"/>
        <w:rPr>
          <w:color w:val="000000"/>
          <w:sz w:val="21"/>
          <w:szCs w:val="21"/>
        </w:rPr>
      </w:pPr>
      <w:r w:rsidDel="00000000" w:rsidR="00000000" w:rsidRPr="00000000">
        <w:rPr>
          <w:color w:val="000000"/>
          <w:sz w:val="21"/>
          <w:szCs w:val="21"/>
          <w:rtl w:val="0"/>
        </w:rPr>
        <w:t xml:space="preserve">11. </w:t>
        <w:tab/>
        <w:t xml:space="preserve">Crompton DWT (David WT, World Health Organization. </w:t>
      </w:r>
      <w:r w:rsidDel="00000000" w:rsidR="00000000" w:rsidRPr="00000000">
        <w:rPr>
          <w:i w:val="1"/>
          <w:color w:val="000000"/>
          <w:sz w:val="21"/>
          <w:szCs w:val="21"/>
          <w:rtl w:val="0"/>
        </w:rPr>
        <w:t xml:space="preserve">Preventive Chemotherapy in Human Helminthiasis : Coordinated Use of Anthelminthic Drugs in Control Interventions : A Manual for Health Professionals and Programme Managers.</w:t>
      </w:r>
      <w:r w:rsidDel="00000000" w:rsidR="00000000" w:rsidRPr="00000000">
        <w:rPr>
          <w:color w:val="000000"/>
          <w:sz w:val="21"/>
          <w:szCs w:val="21"/>
          <w:rtl w:val="0"/>
        </w:rPr>
        <w:t xml:space="preserve"> World Health Organization; 2006.</w:t>
      </w:r>
    </w:p>
    <w:p w:rsidR="00000000" w:rsidDel="00000000" w:rsidP="00000000" w:rsidRDefault="00000000" w:rsidRPr="00000000" w14:paraId="000007C0">
      <w:pPr>
        <w:widowControl w:val="0"/>
        <w:spacing w:line="240" w:lineRule="auto"/>
        <w:ind w:left="640" w:hanging="640"/>
        <w:rPr>
          <w:color w:val="000000"/>
          <w:sz w:val="21"/>
          <w:szCs w:val="21"/>
        </w:rPr>
      </w:pPr>
      <w:r w:rsidDel="00000000" w:rsidR="00000000" w:rsidRPr="00000000">
        <w:rPr>
          <w:color w:val="000000"/>
          <w:sz w:val="21"/>
          <w:szCs w:val="21"/>
          <w:rtl w:val="0"/>
        </w:rPr>
        <w:t xml:space="preserve">12. </w:t>
        <w:tab/>
        <w:t xml:space="preserve">mOPV2- Technical Guidance (Dated: 9 May 2020) 1. 2020;1(May):1-2.</w:t>
      </w:r>
    </w:p>
    <w:p w:rsidR="00000000" w:rsidDel="00000000" w:rsidP="00000000" w:rsidRDefault="00000000" w:rsidRPr="00000000" w14:paraId="000007C1">
      <w:pPr>
        <w:widowControl w:val="0"/>
        <w:spacing w:line="240" w:lineRule="auto"/>
        <w:ind w:left="640" w:hanging="640"/>
        <w:rPr>
          <w:color w:val="000000"/>
          <w:sz w:val="21"/>
          <w:szCs w:val="21"/>
        </w:rPr>
      </w:pPr>
      <w:r w:rsidDel="00000000" w:rsidR="00000000" w:rsidRPr="00000000">
        <w:rPr>
          <w:color w:val="000000"/>
          <w:sz w:val="21"/>
          <w:szCs w:val="21"/>
          <w:rtl w:val="0"/>
        </w:rPr>
        <w:t xml:space="preserve">13. </w:t>
        <w:tab/>
        <w:t xml:space="preserve">WHO. </w:t>
      </w:r>
      <w:r w:rsidDel="00000000" w:rsidR="00000000" w:rsidRPr="00000000">
        <w:rPr>
          <w:i w:val="1"/>
          <w:color w:val="000000"/>
          <w:sz w:val="21"/>
          <w:szCs w:val="21"/>
          <w:rtl w:val="0"/>
        </w:rPr>
        <w:t xml:space="preserve">Joint Request for Selected Preventive Chemotherapy Medicines and Joint Reporting Form 16:50:16</w:t>
      </w:r>
      <w:r w:rsidDel="00000000" w:rsidR="00000000" w:rsidRPr="00000000">
        <w:rPr>
          <w:color w:val="000000"/>
          <w:sz w:val="21"/>
          <w:szCs w:val="21"/>
          <w:rtl w:val="0"/>
        </w:rPr>
        <w:t xml:space="preserve">.; 2013. http://www.who.int/neglected_diseases/en</w:t>
      </w:r>
    </w:p>
    <w:p w:rsidR="00000000" w:rsidDel="00000000" w:rsidP="00000000" w:rsidRDefault="00000000" w:rsidRPr="00000000" w14:paraId="000007C2">
      <w:pPr>
        <w:widowControl w:val="0"/>
        <w:spacing w:line="240" w:lineRule="auto"/>
        <w:ind w:left="640" w:hanging="640"/>
        <w:rPr>
          <w:color w:val="000000"/>
          <w:sz w:val="21"/>
          <w:szCs w:val="21"/>
        </w:rPr>
      </w:pPr>
      <w:r w:rsidDel="00000000" w:rsidR="00000000" w:rsidRPr="00000000">
        <w:rPr>
          <w:color w:val="000000"/>
          <w:sz w:val="21"/>
          <w:szCs w:val="21"/>
          <w:rtl w:val="0"/>
        </w:rPr>
        <w:t xml:space="preserve">14. </w:t>
        <w:tab/>
        <w:t xml:space="preserve">WHO. </w:t>
      </w:r>
      <w:r w:rsidDel="00000000" w:rsidR="00000000" w:rsidRPr="00000000">
        <w:rPr>
          <w:i w:val="1"/>
          <w:color w:val="000000"/>
          <w:sz w:val="21"/>
          <w:szCs w:val="21"/>
          <w:rtl w:val="0"/>
        </w:rPr>
        <w:t xml:space="preserve">Preventative in Human Helminthiasis Chemotherapy</w:t>
      </w:r>
      <w:r w:rsidDel="00000000" w:rsidR="00000000" w:rsidRPr="00000000">
        <w:rPr>
          <w:color w:val="000000"/>
          <w:sz w:val="21"/>
          <w:szCs w:val="21"/>
          <w:rtl w:val="0"/>
        </w:rPr>
        <w:t xml:space="preserve">.; 2006. Accessed April 23, 2020. https://apps.who.int/iris/bitstream/handle/10665/43545/9241547103_eng.pdf?sequence=1</w:t>
      </w:r>
    </w:p>
    <w:p w:rsidR="00000000" w:rsidDel="00000000" w:rsidP="00000000" w:rsidRDefault="00000000" w:rsidRPr="00000000" w14:paraId="000007C3">
      <w:pPr>
        <w:widowControl w:val="0"/>
        <w:spacing w:line="240" w:lineRule="auto"/>
        <w:ind w:left="640" w:hanging="640"/>
        <w:rPr>
          <w:color w:val="000000"/>
          <w:sz w:val="21"/>
          <w:szCs w:val="21"/>
        </w:rPr>
      </w:pPr>
      <w:r w:rsidDel="00000000" w:rsidR="00000000" w:rsidRPr="00000000">
        <w:rPr>
          <w:color w:val="000000"/>
          <w:sz w:val="21"/>
          <w:szCs w:val="21"/>
          <w:rtl w:val="0"/>
        </w:rPr>
        <w:t xml:space="preserve">15. </w:t>
        <w:tab/>
        <w:t xml:space="preserve">WHO. Immunization Agenda 2030. 2019;(August):1-24. https://www.who.int/immunization/ia2030_Draft_One_English.pdf?ua=1</w:t>
      </w:r>
    </w:p>
    <w:p w:rsidR="00000000" w:rsidDel="00000000" w:rsidP="00000000" w:rsidRDefault="00000000" w:rsidRPr="00000000" w14:paraId="000007C4">
      <w:pPr>
        <w:widowControl w:val="0"/>
        <w:spacing w:line="240" w:lineRule="auto"/>
        <w:ind w:left="640" w:hanging="640"/>
        <w:rPr>
          <w:color w:val="000000"/>
          <w:sz w:val="21"/>
          <w:szCs w:val="21"/>
        </w:rPr>
      </w:pPr>
      <w:r w:rsidDel="00000000" w:rsidR="00000000" w:rsidRPr="00000000">
        <w:rPr>
          <w:color w:val="000000"/>
          <w:sz w:val="21"/>
          <w:szCs w:val="21"/>
          <w:rtl w:val="0"/>
        </w:rPr>
        <w:t xml:space="preserve">16. </w:t>
        <w:tab/>
        <w:t xml:space="preserve">Measles &amp; Rubella Initiative. Measles and Rubella Strategic Framework 2021 - 2030. Published online 2021.</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17. </w:t>
        <w:tab/>
        <w:t xml:space="preserve"> Vaccine acronyms and abbreviations. (2016, May 31). Retrieved March 20, 2021, from https://www.cdc.gov/vaccines/terms/vacc-abbrev.html</w:t>
      </w:r>
    </w:p>
    <w:p w:rsidR="00000000" w:rsidDel="00000000" w:rsidP="00000000" w:rsidRDefault="00000000" w:rsidRPr="00000000" w14:paraId="000007C6">
      <w:pPr>
        <w:widowControl w:val="0"/>
        <w:spacing w:line="240" w:lineRule="auto"/>
        <w:ind w:left="640" w:hanging="640"/>
        <w:rPr>
          <w:color w:val="000000"/>
          <w:sz w:val="21"/>
          <w:szCs w:val="21"/>
        </w:rPr>
      </w:pPr>
      <w:r w:rsidDel="00000000" w:rsidR="00000000" w:rsidRPr="00000000">
        <w:rPr>
          <w:color w:val="000000"/>
          <w:sz w:val="21"/>
          <w:szCs w:val="21"/>
          <w:rtl w:val="0"/>
        </w:rPr>
        <w:t xml:space="preserve">18. </w:t>
        <w:tab/>
        <w:t xml:space="preserve">World Health Organization (WHO). Framework on integrated, people-centered health services: Report by the Secretariat. </w:t>
      </w:r>
      <w:r w:rsidDel="00000000" w:rsidR="00000000" w:rsidRPr="00000000">
        <w:rPr>
          <w:i w:val="1"/>
          <w:color w:val="000000"/>
          <w:sz w:val="21"/>
          <w:szCs w:val="21"/>
          <w:rtl w:val="0"/>
        </w:rPr>
        <w:t xml:space="preserve">World Health Assem</w:t>
      </w:r>
      <w:r w:rsidDel="00000000" w:rsidR="00000000" w:rsidRPr="00000000">
        <w:rPr>
          <w:color w:val="000000"/>
          <w:sz w:val="21"/>
          <w:szCs w:val="21"/>
          <w:rtl w:val="0"/>
        </w:rPr>
        <w:t xml:space="preserve">. 2016;(A69/39):1-12. doi:10.1111/igs.13866</w:t>
      </w:r>
    </w:p>
    <w:p w:rsidR="00000000" w:rsidDel="00000000" w:rsidP="00000000" w:rsidRDefault="00000000" w:rsidRPr="00000000" w14:paraId="000007C7">
      <w:pPr>
        <w:widowControl w:val="0"/>
        <w:spacing w:line="240" w:lineRule="auto"/>
        <w:ind w:left="640" w:hanging="640"/>
        <w:rPr>
          <w:sz w:val="21"/>
          <w:szCs w:val="21"/>
        </w:rPr>
      </w:pPr>
      <w:r w:rsidDel="00000000" w:rsidR="00000000" w:rsidRPr="00000000">
        <w:rPr>
          <w:color w:val="000000"/>
          <w:sz w:val="21"/>
          <w:szCs w:val="21"/>
          <w:rtl w:val="0"/>
        </w:rPr>
        <w:t xml:space="preserve">19. </w:t>
        <w:tab/>
        <w:t xml:space="preserve">WHO. </w:t>
      </w:r>
      <w:r w:rsidDel="00000000" w:rsidR="00000000" w:rsidRPr="00000000">
        <w:rPr>
          <w:i w:val="1"/>
          <w:color w:val="000000"/>
          <w:sz w:val="21"/>
          <w:szCs w:val="21"/>
          <w:rtl w:val="0"/>
        </w:rPr>
        <w:t xml:space="preserve">Planning and Implementing High-Quality Supplementary Immunization Activities for Injectable Vaccines Using an Example of Measles and Rubella Vaccines Field Guide</w:t>
      </w:r>
      <w:r w:rsidDel="00000000" w:rsidR="00000000" w:rsidRPr="00000000">
        <w:rPr>
          <w:color w:val="000000"/>
          <w:sz w:val="21"/>
          <w:szCs w:val="21"/>
          <w:rtl w:val="0"/>
        </w:rPr>
        <w:t xml:space="preserve">.; 2016. Accessed April 23, 2020. https://www.who.int/immunization/diseases/measles/SIA-Field-Guide.pdf</w:t>
      </w:r>
      <w:r w:rsidDel="00000000" w:rsidR="00000000" w:rsidRPr="00000000">
        <w:rPr>
          <w:rtl w:val="0"/>
        </w:rPr>
      </w:r>
    </w:p>
    <w:sectPr>
      <w:type w:val="continuous"/>
      <w:pgSz w:h="12240" w:w="20160" w:orient="landscape"/>
      <w:pgMar w:bottom="144" w:top="245"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1">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3">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D4">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8">
    <w:pPr>
      <w:pBdr>
        <w:top w:space="0" w:sz="0" w:val="nil"/>
        <w:left w:space="0" w:sz="0" w:val="nil"/>
        <w:bottom w:space="0" w:sz="0" w:val="nil"/>
        <w:right w:space="0" w:sz="0" w:val="nil"/>
        <w:between w:space="0" w:sz="0" w:val="nil"/>
      </w:pBdr>
      <w:tabs>
        <w:tab w:val="center" w:pos="4680"/>
        <w:tab w:val="right" w:pos="9360"/>
        <w:tab w:val="left" w:pos="17514"/>
      </w:tabs>
      <w:spacing w:after="0" w:line="240" w:lineRule="auto"/>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11409916</wp:posOffset>
          </wp:positionH>
          <wp:positionV relativeFrom="paragraph">
            <wp:posOffset>-378900</wp:posOffset>
          </wp:positionV>
          <wp:extent cx="711200" cy="527050"/>
          <wp:effectExtent b="0" l="0" r="0" t="0"/>
          <wp:wrapNone/>
          <wp:docPr id="302" name="image4.jpg"/>
          <a:graphic>
            <a:graphicData uri="http://schemas.openxmlformats.org/drawingml/2006/picture">
              <pic:pic>
                <pic:nvPicPr>
                  <pic:cNvPr id="0" name="image4.jpg"/>
                  <pic:cNvPicPr preferRelativeResize="0"/>
                </pic:nvPicPr>
                <pic:blipFill>
                  <a:blip r:embed="rId1"/>
                  <a:srcRect b="10445" l="5624" r="5872" t="9315"/>
                  <a:stretch>
                    <a:fillRect/>
                  </a:stretch>
                </pic:blipFill>
                <pic:spPr>
                  <a:xfrm>
                    <a:off x="0" y="0"/>
                    <a:ext cx="711200" cy="5270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9">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-457197</wp:posOffset>
          </wp:positionH>
          <wp:positionV relativeFrom="paragraph">
            <wp:posOffset>-452752</wp:posOffset>
          </wp:positionV>
          <wp:extent cx="3038475" cy="732790"/>
          <wp:effectExtent b="0" l="0" r="0" t="0"/>
          <wp:wrapNone/>
          <wp:docPr id="305"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3038475" cy="732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11506200</wp:posOffset>
          </wp:positionH>
          <wp:positionV relativeFrom="paragraph">
            <wp:posOffset>-304797</wp:posOffset>
          </wp:positionV>
          <wp:extent cx="711200" cy="527050"/>
          <wp:effectExtent b="0" l="0" r="0" t="0"/>
          <wp:wrapNone/>
          <wp:docPr id="286" name="image4.jpg"/>
          <a:graphic>
            <a:graphicData uri="http://schemas.openxmlformats.org/drawingml/2006/picture">
              <pic:pic>
                <pic:nvPicPr>
                  <pic:cNvPr id="0" name="image4.jpg"/>
                  <pic:cNvPicPr preferRelativeResize="0"/>
                </pic:nvPicPr>
                <pic:blipFill>
                  <a:blip r:embed="rId2"/>
                  <a:srcRect b="10445" l="5624" r="5872" t="9315"/>
                  <a:stretch>
                    <a:fillRect/>
                  </a:stretch>
                </pic:blipFill>
                <pic:spPr>
                  <a:xfrm>
                    <a:off x="0" y="0"/>
                    <a:ext cx="711200" cy="527050"/>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B">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C">
    <w:pPr>
      <w:pBdr>
        <w:top w:space="0" w:sz="0" w:val="nil"/>
        <w:left w:space="0" w:sz="0" w:val="nil"/>
        <w:bottom w:space="0" w:sz="0" w:val="nil"/>
        <w:right w:space="0" w:sz="0" w:val="nil"/>
        <w:between w:space="0" w:sz="0" w:val="nil"/>
      </w:pBdr>
      <w:tabs>
        <w:tab w:val="center" w:pos="4680"/>
        <w:tab w:val="right" w:pos="9360"/>
        <w:tab w:val="left" w:pos="17514"/>
      </w:tabs>
      <w:spacing w:after="0" w:line="240" w:lineRule="auto"/>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-457198</wp:posOffset>
          </wp:positionH>
          <wp:positionV relativeFrom="paragraph">
            <wp:posOffset>-457197</wp:posOffset>
          </wp:positionV>
          <wp:extent cx="3038475" cy="732790"/>
          <wp:effectExtent b="0" l="0" r="0" t="0"/>
          <wp:wrapNone/>
          <wp:docPr id="293"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3038475" cy="732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11409916</wp:posOffset>
          </wp:positionH>
          <wp:positionV relativeFrom="paragraph">
            <wp:posOffset>-378900</wp:posOffset>
          </wp:positionV>
          <wp:extent cx="711200" cy="527050"/>
          <wp:effectExtent b="0" l="0" r="0" t="0"/>
          <wp:wrapNone/>
          <wp:docPr id="306" name="image4.jpg"/>
          <a:graphic>
            <a:graphicData uri="http://schemas.openxmlformats.org/drawingml/2006/picture">
              <pic:pic>
                <pic:nvPicPr>
                  <pic:cNvPr id="0" name="image4.jpg"/>
                  <pic:cNvPicPr preferRelativeResize="0"/>
                </pic:nvPicPr>
                <pic:blipFill>
                  <a:blip r:embed="rId2"/>
                  <a:srcRect b="10445" l="5624" r="5872" t="9315"/>
                  <a:stretch>
                    <a:fillRect/>
                  </a:stretch>
                </pic:blipFill>
                <pic:spPr>
                  <a:xfrm>
                    <a:off x="0" y="0"/>
                    <a:ext cx="711200" cy="527050"/>
                  </a:xfrm>
                  <a:prstGeom prst="rect"/>
                  <a:ln/>
                </pic:spPr>
              </pic:pic>
            </a:graphicData>
          </a:graphic>
        </wp:anchor>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D">
    <w:pPr>
      <w:pBdr>
        <w:top w:space="0" w:sz="0" w:val="nil"/>
        <w:left w:space="0" w:sz="0" w:val="nil"/>
        <w:bottom w:space="0" w:sz="0" w:val="nil"/>
        <w:right w:space="0" w:sz="0" w:val="nil"/>
        <w:between w:space="0" w:sz="0" w:val="nil"/>
      </w:pBdr>
      <w:tabs>
        <w:tab w:val="center" w:pos="4680"/>
        <w:tab w:val="right" w:pos="9360"/>
        <w:tab w:val="left" w:pos="17514"/>
      </w:tabs>
      <w:spacing w:after="0" w:line="240" w:lineRule="auto"/>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-457197</wp:posOffset>
          </wp:positionH>
          <wp:positionV relativeFrom="paragraph">
            <wp:posOffset>-452752</wp:posOffset>
          </wp:positionV>
          <wp:extent cx="3038475" cy="732790"/>
          <wp:effectExtent b="0" l="0" r="0" t="0"/>
          <wp:wrapNone/>
          <wp:docPr id="31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3038475" cy="732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11409916</wp:posOffset>
          </wp:positionH>
          <wp:positionV relativeFrom="paragraph">
            <wp:posOffset>-378900</wp:posOffset>
          </wp:positionV>
          <wp:extent cx="711200" cy="527050"/>
          <wp:effectExtent b="0" l="0" r="0" t="0"/>
          <wp:wrapNone/>
          <wp:docPr id="311" name="image4.jpg"/>
          <a:graphic>
            <a:graphicData uri="http://schemas.openxmlformats.org/drawingml/2006/picture">
              <pic:pic>
                <pic:nvPicPr>
                  <pic:cNvPr id="0" name="image4.jpg"/>
                  <pic:cNvPicPr preferRelativeResize="0"/>
                </pic:nvPicPr>
                <pic:blipFill>
                  <a:blip r:embed="rId2"/>
                  <a:srcRect b="10445" l="5624" r="5872" t="9315"/>
                  <a:stretch>
                    <a:fillRect/>
                  </a:stretch>
                </pic:blipFill>
                <pic:spPr>
                  <a:xfrm>
                    <a:off x="0" y="0"/>
                    <a:ext cx="711200" cy="527050"/>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F">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-457197</wp:posOffset>
          </wp:positionH>
          <wp:positionV relativeFrom="paragraph">
            <wp:posOffset>-452752</wp:posOffset>
          </wp:positionV>
          <wp:extent cx="3038475" cy="732790"/>
          <wp:effectExtent b="0" l="0" r="0" t="0"/>
          <wp:wrapNone/>
          <wp:docPr id="301"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3038475" cy="732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11506200</wp:posOffset>
          </wp:positionH>
          <wp:positionV relativeFrom="paragraph">
            <wp:posOffset>-304797</wp:posOffset>
          </wp:positionV>
          <wp:extent cx="711200" cy="527050"/>
          <wp:effectExtent b="0" l="0" r="0" t="0"/>
          <wp:wrapNone/>
          <wp:docPr id="310" name="image4.jpg"/>
          <a:graphic>
            <a:graphicData uri="http://schemas.openxmlformats.org/drawingml/2006/picture">
              <pic:pic>
                <pic:nvPicPr>
                  <pic:cNvPr id="0" name="image4.jpg"/>
                  <pic:cNvPicPr preferRelativeResize="0"/>
                </pic:nvPicPr>
                <pic:blipFill>
                  <a:blip r:embed="rId2"/>
                  <a:srcRect b="10445" l="5624" r="5872" t="9315"/>
                  <a:stretch>
                    <a:fillRect/>
                  </a:stretch>
                </pic:blipFill>
                <pic:spPr>
                  <a:xfrm>
                    <a:off x="0" y="0"/>
                    <a:ext cx="711200" cy="527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3C5712"/>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CommentReference">
    <w:name w:val="annotation reference"/>
    <w:basedOn w:val="DefaultParagraphFont"/>
    <w:uiPriority w:val="99"/>
    <w:semiHidden w:val="1"/>
    <w:unhideWhenUsed w:val="1"/>
    <w:rsid w:val="0071579F"/>
    <w:rPr>
      <w:sz w:val="16"/>
      <w:szCs w:val="16"/>
    </w:rPr>
  </w:style>
  <w:style w:type="paragraph" w:styleId="CommentText">
    <w:name w:val="annotation text"/>
    <w:basedOn w:val="Normal"/>
    <w:link w:val="CommentTextChar"/>
    <w:uiPriority w:val="99"/>
    <w:semiHidden w:val="1"/>
    <w:unhideWhenUsed w:val="1"/>
    <w:rsid w:val="0071579F"/>
    <w:pPr>
      <w:spacing w:after="0" w:line="240" w:lineRule="auto"/>
    </w:pPr>
    <w:rPr>
      <w:rFonts w:ascii="Cambria" w:cs="Cambria" w:eastAsia="Cambria" w:hAnsi="Cambria"/>
      <w:sz w:val="20"/>
      <w:szCs w:val="20"/>
    </w:rPr>
  </w:style>
  <w:style w:type="character" w:styleId="CommentTextChar" w:customStyle="1">
    <w:name w:val="Comment Text Char"/>
    <w:basedOn w:val="DefaultParagraphFont"/>
    <w:link w:val="CommentText"/>
    <w:uiPriority w:val="99"/>
    <w:semiHidden w:val="1"/>
    <w:rsid w:val="0071579F"/>
    <w:rPr>
      <w:rFonts w:ascii="Cambria" w:cs="Cambria" w:eastAsia="Cambria" w:hAnsi="Cambria"/>
      <w:sz w:val="20"/>
      <w:szCs w:val="20"/>
    </w:rPr>
  </w:style>
  <w:style w:type="table" w:styleId="1" w:customStyle="1">
    <w:name w:val="1"/>
    <w:basedOn w:val="TableNormal"/>
    <w:rsid w:val="0071579F"/>
    <w:pPr>
      <w:spacing w:after="0" w:line="240" w:lineRule="auto"/>
    </w:pPr>
    <w:rPr>
      <w:rFonts w:ascii="Cambria" w:cs="Cambria" w:eastAsia="Cambria" w:hAnsi="Cambria"/>
      <w:color w:val="366091"/>
      <w:sz w:val="24"/>
      <w:szCs w:val="24"/>
    </w:rPr>
    <w:tblPr>
      <w:tblStyleRowBandSize w:val="1"/>
      <w:tblStyleColBandSize w:val="1"/>
      <w:tblCellMar>
        <w:left w:w="115.0" w:type="dxa"/>
        <w:right w:w="115.0" w:type="dxa"/>
      </w:tblCellMar>
    </w:tblPr>
    <w:tblStylePr w:type="fir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paragraph" w:styleId="BalloonText">
    <w:name w:val="Balloon Text"/>
    <w:basedOn w:val="Normal"/>
    <w:link w:val="BalloonTextChar"/>
    <w:uiPriority w:val="99"/>
    <w:semiHidden w:val="1"/>
    <w:unhideWhenUsed w:val="1"/>
    <w:rsid w:val="0071579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1579F"/>
    <w:rPr>
      <w:rFonts w:ascii="Segoe UI" w:cs="Segoe UI" w:hAnsi="Segoe UI"/>
      <w:sz w:val="18"/>
      <w:szCs w:val="18"/>
    </w:rPr>
  </w:style>
  <w:style w:type="paragraph" w:styleId="ListParagraph">
    <w:name w:val="List Paragraph"/>
    <w:basedOn w:val="Normal"/>
    <w:uiPriority w:val="34"/>
    <w:qFormat w:val="1"/>
    <w:rsid w:val="0071579F"/>
    <w:pPr>
      <w:ind w:left="720"/>
      <w:contextualSpacing w:val="1"/>
    </w:pPr>
  </w:style>
  <w:style w:type="paragraph" w:styleId="CommentSubject">
    <w:name w:val="annotation subject"/>
    <w:basedOn w:val="CommentText"/>
    <w:next w:val="CommentText"/>
    <w:link w:val="CommentSubjectChar"/>
    <w:uiPriority w:val="99"/>
    <w:semiHidden w:val="1"/>
    <w:unhideWhenUsed w:val="1"/>
    <w:rsid w:val="009D4EAF"/>
    <w:pPr>
      <w:spacing w:after="160"/>
    </w:pPr>
    <w:rPr>
      <w:rFonts w:asciiTheme="minorHAnsi" w:cstheme="minorBidi" w:eastAsiaTheme="minorHAnsi" w:hAnsiTheme="minorHAnsi"/>
      <w:b w:val="1"/>
      <w:bCs w:val="1"/>
    </w:rPr>
  </w:style>
  <w:style w:type="character" w:styleId="CommentSubjectChar" w:customStyle="1">
    <w:name w:val="Comment Subject Char"/>
    <w:basedOn w:val="CommentTextChar"/>
    <w:link w:val="CommentSubject"/>
    <w:uiPriority w:val="99"/>
    <w:semiHidden w:val="1"/>
    <w:rsid w:val="009D4EAF"/>
    <w:rPr>
      <w:rFonts w:ascii="Cambria" w:cs="Cambria" w:eastAsia="Cambria" w:hAnsi="Cambria"/>
      <w:b w:val="1"/>
      <w:bCs w:val="1"/>
      <w:sz w:val="20"/>
      <w:szCs w:val="20"/>
    </w:rPr>
  </w:style>
  <w:style w:type="paragraph" w:styleId="Header">
    <w:name w:val="header"/>
    <w:basedOn w:val="Normal"/>
    <w:link w:val="HeaderChar"/>
    <w:uiPriority w:val="99"/>
    <w:unhideWhenUsed w:val="1"/>
    <w:rsid w:val="00C20D7F"/>
    <w:pPr>
      <w:tabs>
        <w:tab w:val="center" w:pos="4680"/>
        <w:tab w:val="right" w:pos="9360"/>
      </w:tabs>
      <w:spacing w:after="0" w:line="240" w:lineRule="auto"/>
    </w:pPr>
  </w:style>
  <w:style w:type="character" w:styleId="HeaderChar" w:customStyle="1">
    <w:name w:val="Header Char"/>
    <w:basedOn w:val="DefaultParagraphFont"/>
    <w:link w:val="Header"/>
    <w:uiPriority w:val="99"/>
    <w:rsid w:val="00C20D7F"/>
  </w:style>
  <w:style w:type="paragraph" w:styleId="Footer">
    <w:name w:val="footer"/>
    <w:basedOn w:val="Normal"/>
    <w:link w:val="FooterChar"/>
    <w:uiPriority w:val="99"/>
    <w:unhideWhenUsed w:val="1"/>
    <w:rsid w:val="00C20D7F"/>
    <w:pPr>
      <w:tabs>
        <w:tab w:val="center" w:pos="4680"/>
        <w:tab w:val="right" w:pos="9360"/>
      </w:tabs>
      <w:spacing w:after="0" w:line="240" w:lineRule="auto"/>
    </w:pPr>
  </w:style>
  <w:style w:type="character" w:styleId="FooterChar" w:customStyle="1">
    <w:name w:val="Footer Char"/>
    <w:basedOn w:val="DefaultParagraphFont"/>
    <w:link w:val="Footer"/>
    <w:uiPriority w:val="99"/>
    <w:rsid w:val="00C20D7F"/>
  </w:style>
  <w:style w:type="paragraph" w:styleId="FootnoteText">
    <w:name w:val="footnote text"/>
    <w:basedOn w:val="Normal"/>
    <w:link w:val="FootnoteTextChar"/>
    <w:uiPriority w:val="99"/>
    <w:unhideWhenUsed w:val="1"/>
    <w:rsid w:val="00CB6185"/>
    <w:pPr>
      <w:spacing w:after="0" w:line="240" w:lineRule="auto"/>
    </w:pPr>
    <w:rPr>
      <w:rFonts w:eastAsiaTheme="minorEastAsia"/>
      <w:sz w:val="24"/>
      <w:szCs w:val="24"/>
    </w:rPr>
  </w:style>
  <w:style w:type="character" w:styleId="FootnoteTextChar" w:customStyle="1">
    <w:name w:val="Footnote Text Char"/>
    <w:basedOn w:val="DefaultParagraphFont"/>
    <w:link w:val="FootnoteText"/>
    <w:uiPriority w:val="99"/>
    <w:rsid w:val="00CB6185"/>
    <w:rPr>
      <w:rFonts w:eastAsiaTheme="minorEastAsia"/>
      <w:sz w:val="24"/>
      <w:szCs w:val="24"/>
    </w:rPr>
  </w:style>
  <w:style w:type="table" w:styleId="TableGrid">
    <w:name w:val="Table Grid"/>
    <w:basedOn w:val="TableNormal"/>
    <w:uiPriority w:val="39"/>
    <w:rsid w:val="00CB618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3C5712"/>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3C5712"/>
    <w:pPr>
      <w:outlineLvl w:val="9"/>
    </w:pPr>
  </w:style>
  <w:style w:type="paragraph" w:styleId="TOC1">
    <w:name w:val="toc 1"/>
    <w:basedOn w:val="Normal"/>
    <w:next w:val="Normal"/>
    <w:autoRedefine w:val="1"/>
    <w:uiPriority w:val="39"/>
    <w:unhideWhenUsed w:val="1"/>
    <w:rsid w:val="005454FF"/>
    <w:pPr>
      <w:tabs>
        <w:tab w:val="right" w:leader="dot" w:pos="18710"/>
      </w:tabs>
      <w:spacing w:after="100"/>
    </w:pPr>
    <w:rPr>
      <w:noProof w:val="1"/>
    </w:rPr>
  </w:style>
  <w:style w:type="character" w:styleId="Hyperlink">
    <w:name w:val="Hyperlink"/>
    <w:basedOn w:val="DefaultParagraphFont"/>
    <w:uiPriority w:val="99"/>
    <w:unhideWhenUsed w:val="1"/>
    <w:rsid w:val="003C5712"/>
    <w:rPr>
      <w:color w:val="0563c1" w:themeColor="hyperlink"/>
      <w:u w:val="single"/>
    </w:rPr>
  </w:style>
  <w:style w:type="table" w:styleId="11" w:customStyle="1">
    <w:name w:val="11"/>
    <w:basedOn w:val="TableNormal"/>
    <w:rsid w:val="003C5712"/>
    <w:pPr>
      <w:spacing w:after="0" w:line="240" w:lineRule="auto"/>
    </w:pPr>
    <w:rPr>
      <w:rFonts w:ascii="Cambria" w:cs="Cambria" w:eastAsia="Cambria" w:hAnsi="Cambria"/>
      <w:color w:val="366091"/>
      <w:sz w:val="24"/>
      <w:szCs w:val="24"/>
    </w:rPr>
    <w:tblPr>
      <w:tblStyleRowBandSize w:val="1"/>
      <w:tblStyleColBandSize w:val="1"/>
      <w:tblCellMar>
        <w:left w:w="115.0" w:type="dxa"/>
        <w:right w:w="115.0" w:type="dxa"/>
      </w:tblCellMar>
    </w:tblPr>
    <w:tblStylePr w:type="fir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paragraph" w:styleId="EndnoteText">
    <w:name w:val="endnote text"/>
    <w:basedOn w:val="Normal"/>
    <w:link w:val="EndnoteTextChar"/>
    <w:uiPriority w:val="99"/>
    <w:semiHidden w:val="1"/>
    <w:unhideWhenUsed w:val="1"/>
    <w:rsid w:val="00055BF6"/>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055BF6"/>
    <w:rPr>
      <w:sz w:val="20"/>
      <w:szCs w:val="20"/>
    </w:rPr>
  </w:style>
  <w:style w:type="character" w:styleId="EndnoteReference">
    <w:name w:val="endnote reference"/>
    <w:basedOn w:val="DefaultParagraphFont"/>
    <w:uiPriority w:val="99"/>
    <w:semiHidden w:val="1"/>
    <w:unhideWhenUsed w:val="1"/>
    <w:rsid w:val="00055BF6"/>
    <w:rPr>
      <w:vertAlign w:val="superscript"/>
    </w:rPr>
  </w:style>
  <w:style w:type="paragraph" w:styleId="NoSpacing">
    <w:name w:val="No Spacing"/>
    <w:link w:val="NoSpacingChar"/>
    <w:uiPriority w:val="1"/>
    <w:qFormat w:val="1"/>
    <w:rsid w:val="000D2AAF"/>
    <w:pPr>
      <w:spacing w:after="0" w:line="240" w:lineRule="auto"/>
    </w:pPr>
    <w:rPr>
      <w:rFonts w:eastAsiaTheme="minorEastAsia"/>
    </w:rPr>
  </w:style>
  <w:style w:type="character" w:styleId="NoSpacingChar" w:customStyle="1">
    <w:name w:val="No Spacing Char"/>
    <w:basedOn w:val="DefaultParagraphFont"/>
    <w:link w:val="NoSpacing"/>
    <w:uiPriority w:val="1"/>
    <w:rsid w:val="000D2AAF"/>
    <w:rPr>
      <w:rFonts w:eastAsiaTheme="minorEastAsia"/>
    </w:rPr>
  </w:style>
  <w:style w:type="paragraph" w:styleId="NormalWeb">
    <w:name w:val="Normal (Web)"/>
    <w:basedOn w:val="Normal"/>
    <w:uiPriority w:val="99"/>
    <w:unhideWhenUsed w:val="1"/>
    <w:rsid w:val="0054446D"/>
    <w:pPr>
      <w:spacing w:after="100" w:afterAutospacing="1" w:before="100" w:beforeAutospacing="1" w:line="240" w:lineRule="auto"/>
    </w:pPr>
    <w:rPr>
      <w:rFonts w:ascii="Times New Roman" w:cs="Times New Roman" w:eastAsia="Times New Roman" w:hAnsi="Times New Roman"/>
      <w:sz w:val="24"/>
      <w:szCs w:val="24"/>
    </w:rPr>
  </w:style>
  <w:style w:type="character" w:styleId="FootnoteReference">
    <w:name w:val="footnote reference"/>
    <w:basedOn w:val="DefaultParagraphFont"/>
    <w:uiPriority w:val="99"/>
    <w:semiHidden w:val="1"/>
    <w:unhideWhenUsed w:val="1"/>
    <w:rsid w:val="00880E87"/>
    <w:rPr>
      <w:vertAlign w:val="superscript"/>
    </w:rPr>
  </w:style>
  <w:style w:type="character" w:styleId="s1" w:customStyle="1">
    <w:name w:val="s1"/>
    <w:basedOn w:val="DefaultParagraphFont"/>
    <w:rsid w:val="007A48B8"/>
  </w:style>
  <w:style w:type="table" w:styleId="TableGridLight">
    <w:name w:val="Grid Table Light"/>
    <w:basedOn w:val="TableNormal"/>
    <w:uiPriority w:val="40"/>
    <w:rsid w:val="000C4D54"/>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115.0" w:type="dxa"/>
        <w:right w:w="115.0" w:type="dxa"/>
      </w:tblCellMar>
    </w:tblPr>
  </w:style>
  <w:style w:type="table" w:styleId="a0"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115.0" w:type="dxa"/>
        <w:right w:w="115.0" w:type="dxa"/>
      </w:tblCellMar>
    </w:tblPr>
    <w:tblStylePr w:type="fir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paragraph" w:styleId="Revision">
    <w:name w:val="Revision"/>
    <w:hidden w:val="1"/>
    <w:uiPriority w:val="99"/>
    <w:semiHidden w:val="1"/>
    <w:rsid w:val="00DD48A9"/>
    <w:pPr>
      <w:spacing w:after="0" w:line="240" w:lineRule="auto"/>
    </w:pPr>
  </w:style>
  <w:style w:type="character" w:styleId="A18" w:customStyle="1">
    <w:name w:val="A18"/>
    <w:uiPriority w:val="99"/>
    <w:rsid w:val="00E5344F"/>
    <w:rPr>
      <w:rFonts w:cs="Source Sans Pro"/>
      <w:color w:val="000000"/>
      <w:sz w:val="18"/>
      <w:szCs w:val="18"/>
      <w:u w:val="single"/>
    </w:rPr>
  </w:style>
  <w:style w:type="paragraph" w:styleId="Default" w:customStyle="1">
    <w:name w:val="Default"/>
    <w:rsid w:val="00894AB7"/>
    <w:pPr>
      <w:autoSpaceDE w:val="0"/>
      <w:autoSpaceDN w:val="0"/>
      <w:adjustRightInd w:val="0"/>
      <w:spacing w:after="0" w:line="240" w:lineRule="auto"/>
    </w:pPr>
    <w:rPr>
      <w:rFonts w:ascii="Source Sans Pro" w:cs="Source Sans Pro" w:hAnsi="Source Sans Pro"/>
      <w:color w:val="000000"/>
      <w:sz w:val="24"/>
      <w:szCs w:val="24"/>
    </w:rPr>
  </w:style>
  <w:style w:type="paragraph" w:styleId="Pa2" w:customStyle="1">
    <w:name w:val="Pa2"/>
    <w:basedOn w:val="Default"/>
    <w:next w:val="Default"/>
    <w:uiPriority w:val="99"/>
    <w:rsid w:val="00894AB7"/>
    <w:pPr>
      <w:spacing w:line="221" w:lineRule="atLeast"/>
    </w:pPr>
    <w:rPr>
      <w:rFonts w:cs="Calibri"/>
      <w:color w:val="auto"/>
    </w:rPr>
  </w:style>
  <w:style w:type="character" w:styleId="A40" w:customStyle="1">
    <w:name w:val="A4"/>
    <w:uiPriority w:val="99"/>
    <w:rsid w:val="00894AB7"/>
    <w:rPr>
      <w:rFonts w:cs="Source Sans Pro"/>
      <w:color w:val="000000"/>
      <w:sz w:val="12"/>
      <w:szCs w:val="12"/>
    </w:rPr>
  </w:style>
  <w:style w:type="character" w:styleId="jsgrdq" w:customStyle="1">
    <w:name w:val="jsgrdq"/>
    <w:basedOn w:val="DefaultParagraphFont"/>
    <w:rsid w:val="00F51B70"/>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0.0" w:type="dxa"/>
        <w:right w:w="0.0" w:type="dxa"/>
      </w:tblCellMar>
    </w:tblPr>
    <w:tblStylePr w:type="fir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0.0" w:type="dxa"/>
        <w:right w:w="0.0" w:type="dxa"/>
      </w:tblCellMar>
    </w:tblPr>
  </w:style>
  <w:style w:type="table" w:styleId="ab"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0.0" w:type="dxa"/>
        <w:right w:w="0.0" w:type="dxa"/>
      </w:tblCellMar>
    </w:tblPr>
  </w:style>
  <w:style w:type="table" w:styleId="ac"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0.0" w:type="dxa"/>
        <w:right w:w="0.0" w:type="dxa"/>
      </w:tblCellMar>
    </w:tblPr>
  </w:style>
  <w:style w:type="table" w:styleId="ad" w:customStyle="1">
    <w:basedOn w:val="TableNormal"/>
    <w:pPr>
      <w:spacing w:after="0" w:line="240" w:lineRule="auto"/>
    </w:pPr>
    <w:rPr>
      <w:rFonts w:ascii="Cambria" w:cs="Cambria" w:eastAsia="Cambria" w:hAnsi="Cambria"/>
      <w:color w:val="366091"/>
      <w:sz w:val="24"/>
      <w:szCs w:val="24"/>
    </w:rPr>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paragraph" w:styleId="IntenseQuote">
    <w:name w:val="Intense Quote"/>
    <w:basedOn w:val="Normal"/>
    <w:next w:val="Normal"/>
    <w:link w:val="IntenseQuoteChar"/>
    <w:uiPriority w:val="30"/>
    <w:qFormat w:val="1"/>
    <w:rsid w:val="007960B4"/>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IntenseQuoteChar" w:customStyle="1">
    <w:name w:val="Intense Quote Char"/>
    <w:basedOn w:val="DefaultParagraphFont"/>
    <w:link w:val="IntenseQuote"/>
    <w:uiPriority w:val="30"/>
    <w:rsid w:val="007960B4"/>
    <w:rPr>
      <w:i w:val="1"/>
      <w:iCs w:val="1"/>
      <w:color w:val="4472c4" w:themeColor="accent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style>
  <w:style w:type="table" w:styleId="Table3">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4">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style>
  <w:style w:type="table" w:styleId="Table5">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style>
  <w:style w:type="table" w:styleId="Table6">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style>
  <w:style w:type="table" w:styleId="Table7">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style>
  <w:style w:type="table" w:styleId="Table8">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style>
  <w:style w:type="table" w:styleId="Table9">
    <w:basedOn w:val="TableNormal"/>
    <w:pPr>
      <w:spacing w:after="0" w:line="240" w:lineRule="auto"/>
    </w:pPr>
    <w:rPr>
      <w:rFonts w:ascii="Cambria" w:cs="Cambria" w:eastAsia="Cambria" w:hAnsi="Cambria"/>
      <w:color w:val="366091"/>
      <w:sz w:val="24"/>
      <w:szCs w:val="24"/>
    </w:rPr>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20" Type="http://schemas.openxmlformats.org/officeDocument/2006/relationships/header" Target="header6.xml"/><Relationship Id="rId42" Type="http://schemas.openxmlformats.org/officeDocument/2006/relationships/image" Target="media/image14.png"/><Relationship Id="rId41" Type="http://schemas.openxmlformats.org/officeDocument/2006/relationships/image" Target="media/image31.png"/><Relationship Id="rId22" Type="http://schemas.openxmlformats.org/officeDocument/2006/relationships/header" Target="header7.xml"/><Relationship Id="rId44" Type="http://schemas.openxmlformats.org/officeDocument/2006/relationships/image" Target="media/image22.png"/><Relationship Id="rId21" Type="http://schemas.openxmlformats.org/officeDocument/2006/relationships/header" Target="header9.xml"/><Relationship Id="rId43" Type="http://schemas.openxmlformats.org/officeDocument/2006/relationships/image" Target="media/image15.png"/><Relationship Id="rId24" Type="http://schemas.openxmlformats.org/officeDocument/2006/relationships/header" Target="header3.xml"/><Relationship Id="rId46" Type="http://schemas.openxmlformats.org/officeDocument/2006/relationships/image" Target="media/image7.png"/><Relationship Id="rId23" Type="http://schemas.openxmlformats.org/officeDocument/2006/relationships/header" Target="header5.xml"/><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1.png"/><Relationship Id="rId48" Type="http://schemas.openxmlformats.org/officeDocument/2006/relationships/image" Target="media/image25.png"/><Relationship Id="rId25" Type="http://schemas.openxmlformats.org/officeDocument/2006/relationships/header" Target="header8.xml"/><Relationship Id="rId47" Type="http://schemas.openxmlformats.org/officeDocument/2006/relationships/image" Target="media/image16.png"/><Relationship Id="rId28" Type="http://schemas.openxmlformats.org/officeDocument/2006/relationships/image" Target="media/image2.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27.png"/><Relationship Id="rId8" Type="http://schemas.openxmlformats.org/officeDocument/2006/relationships/image" Target="media/image17.png"/><Relationship Id="rId31" Type="http://schemas.openxmlformats.org/officeDocument/2006/relationships/image" Target="media/image6.png"/><Relationship Id="rId30" Type="http://schemas.openxmlformats.org/officeDocument/2006/relationships/image" Target="media/image13.png"/><Relationship Id="rId11" Type="http://schemas.openxmlformats.org/officeDocument/2006/relationships/header" Target="header4.xml"/><Relationship Id="rId33" Type="http://schemas.openxmlformats.org/officeDocument/2006/relationships/image" Target="media/image5.png"/><Relationship Id="rId10" Type="http://schemas.openxmlformats.org/officeDocument/2006/relationships/header" Target="header1.xml"/><Relationship Id="rId32" Type="http://schemas.openxmlformats.org/officeDocument/2006/relationships/image" Target="media/image3.png"/><Relationship Id="rId13" Type="http://schemas.openxmlformats.org/officeDocument/2006/relationships/footer" Target="footer3.xml"/><Relationship Id="rId35" Type="http://schemas.openxmlformats.org/officeDocument/2006/relationships/image" Target="media/image30.png"/><Relationship Id="rId12" Type="http://schemas.openxmlformats.org/officeDocument/2006/relationships/header" Target="header2.xml"/><Relationship Id="rId34" Type="http://schemas.openxmlformats.org/officeDocument/2006/relationships/image" Target="media/image20.png"/><Relationship Id="rId15" Type="http://schemas.openxmlformats.org/officeDocument/2006/relationships/footer" Target="footer1.xml"/><Relationship Id="rId37" Type="http://schemas.openxmlformats.org/officeDocument/2006/relationships/image" Target="media/image26.png"/><Relationship Id="rId14" Type="http://schemas.openxmlformats.org/officeDocument/2006/relationships/footer" Target="footer2.xml"/><Relationship Id="rId36" Type="http://schemas.openxmlformats.org/officeDocument/2006/relationships/image" Target="media/image23.png"/><Relationship Id="rId17" Type="http://schemas.openxmlformats.org/officeDocument/2006/relationships/image" Target="media/image10.png"/><Relationship Id="rId39" Type="http://schemas.openxmlformats.org/officeDocument/2006/relationships/image" Target="media/image21.png"/><Relationship Id="rId16" Type="http://schemas.openxmlformats.org/officeDocument/2006/relationships/image" Target="media/image9.png"/><Relationship Id="rId38" Type="http://schemas.openxmlformats.org/officeDocument/2006/relationships/image" Target="media/image29.png"/><Relationship Id="rId19" Type="http://schemas.openxmlformats.org/officeDocument/2006/relationships/image" Target="media/image18.jpg"/><Relationship Id="rId18"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612POSgONJPXC8v2IgoOz0/6fQ==">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2021-04-25T15:04:00Z</dcterms:created>
  <dc:creator>Patel, Vivek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d518fed4-3176-319c-a129-ee38ffead702</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_DocHome">
    <vt:i4>-502073043</vt:i4>
  </property>
</Properties>
</file>